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F0D13" w14:textId="77777777" w:rsidR="00A77B3E" w:rsidRDefault="00A77B3E">
      <w:pPr>
        <w:rPr>
          <w:color w:val="000000"/>
        </w:rPr>
      </w:pPr>
    </w:p>
    <w:p w14:paraId="33B571BD" w14:textId="77777777" w:rsidR="00A77B3E" w:rsidRDefault="00186AF9">
      <w:pPr>
        <w:jc w:val="center"/>
        <w:rPr>
          <w:color w:val="000000"/>
        </w:rPr>
      </w:pPr>
      <w:r>
        <w:rPr>
          <w:color w:val="000000"/>
        </w:rPr>
        <w:t xml:space="preserve"> </w:t>
      </w:r>
    </w:p>
    <w:p w14:paraId="52D91F59" w14:textId="77777777" w:rsidR="00A77B3E" w:rsidRDefault="00186AF9">
      <w:pPr>
        <w:jc w:val="center"/>
        <w:rPr>
          <w:color w:val="000000"/>
        </w:rPr>
      </w:pPr>
      <w:r>
        <w:rPr>
          <w:noProof/>
          <w:color w:val="000000"/>
        </w:rPr>
        <w:drawing>
          <wp:anchor distT="0" distB="0" distL="114300" distR="114300" simplePos="0" relativeHeight="251658240" behindDoc="0" locked="0" layoutInCell="1" allowOverlap="1" wp14:anchorId="6440867A" wp14:editId="1A73DBA0">
            <wp:simplePos x="0" y="0"/>
            <wp:positionH relativeFrom="page">
              <wp:align>center</wp:align>
            </wp:positionH>
            <wp:positionV relativeFrom="paragraph">
              <wp:posOffset>0</wp:posOffset>
            </wp:positionV>
            <wp:extent cx="2088303" cy="327577"/>
            <wp:effectExtent l="0" t="0" r="0" b="0"/>
            <wp:wrapTopAndBottom/>
            <wp:docPr id="100001" name="Bild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6"/>
                    <a:stretch>
                      <a:fillRect/>
                    </a:stretch>
                  </pic:blipFill>
                  <pic:spPr>
                    <a:xfrm>
                      <a:off x="0" y="0"/>
                      <a:ext cx="2088303" cy="327577"/>
                    </a:xfrm>
                    <a:prstGeom prst="rect">
                      <a:avLst/>
                    </a:prstGeom>
                  </pic:spPr>
                </pic:pic>
              </a:graphicData>
            </a:graphic>
          </wp:anchor>
        </w:drawing>
      </w:r>
    </w:p>
    <w:p w14:paraId="6E94824E" w14:textId="77777777" w:rsidR="00A77B3E" w:rsidRDefault="00186AF9">
      <w:pPr>
        <w:pStyle w:val="Overskrift1"/>
        <w:jc w:val="center"/>
        <w:rPr>
          <w:color w:val="000000"/>
        </w:rPr>
      </w:pPr>
      <w:r>
        <w:rPr>
          <w:color w:val="000000"/>
        </w:rPr>
        <w:t>Norges Høyesterett - Dom - HR-2018-111-A</w:t>
      </w:r>
    </w:p>
    <w:p w14:paraId="5257D688" w14:textId="77777777" w:rsidR="00481BC9" w:rsidRDefault="00481BC9">
      <w:pPr>
        <w:jc w:val="center"/>
        <w:rPr>
          <w:sz w:val="22"/>
        </w:rPr>
      </w:pPr>
    </w:p>
    <w:p w14:paraId="0ECE0457" w14:textId="77777777" w:rsidR="00481BC9" w:rsidRDefault="00481BC9">
      <w:pPr>
        <w:jc w:val="center"/>
        <w:rPr>
          <w:sz w:val="22"/>
        </w:rPr>
      </w:pPr>
      <w:bookmarkStart w:id="0" w:name="documentMeta"/>
    </w:p>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2520"/>
        <w:gridCol w:w="7562"/>
      </w:tblGrid>
      <w:tr w:rsidR="00481BC9" w14:paraId="55F7AFD7" w14:textId="77777777">
        <w:tc>
          <w:tcPr>
            <w:tcW w:w="2000" w:type="dxa"/>
          </w:tcPr>
          <w:p w14:paraId="1089246C" w14:textId="77777777" w:rsidR="00481BC9" w:rsidRDefault="00186AF9">
            <w:pPr>
              <w:spacing w:before="100"/>
              <w:rPr>
                <w:sz w:val="22"/>
              </w:rPr>
            </w:pPr>
            <w:r>
              <w:rPr>
                <w:sz w:val="22"/>
              </w:rPr>
              <w:t>Instans</w:t>
            </w:r>
          </w:p>
        </w:tc>
        <w:tc>
          <w:tcPr>
            <w:tcW w:w="6000" w:type="dxa"/>
          </w:tcPr>
          <w:p w14:paraId="7846FA27" w14:textId="77777777" w:rsidR="00481BC9" w:rsidRDefault="00186AF9">
            <w:pPr>
              <w:spacing w:before="100"/>
              <w:rPr>
                <w:sz w:val="22"/>
              </w:rPr>
            </w:pPr>
            <w:r>
              <w:rPr>
                <w:sz w:val="22"/>
              </w:rPr>
              <w:t>Norges Høyesterett – Dom</w:t>
            </w:r>
          </w:p>
        </w:tc>
      </w:tr>
      <w:tr w:rsidR="00481BC9" w14:paraId="522DA642" w14:textId="77777777">
        <w:tc>
          <w:tcPr>
            <w:tcW w:w="2000" w:type="dxa"/>
          </w:tcPr>
          <w:p w14:paraId="1A21A6BF" w14:textId="77777777" w:rsidR="00481BC9" w:rsidRDefault="00186AF9">
            <w:pPr>
              <w:spacing w:before="100"/>
              <w:rPr>
                <w:sz w:val="22"/>
              </w:rPr>
            </w:pPr>
            <w:r>
              <w:rPr>
                <w:sz w:val="22"/>
              </w:rPr>
              <w:t>Dato</w:t>
            </w:r>
          </w:p>
        </w:tc>
        <w:tc>
          <w:tcPr>
            <w:tcW w:w="6000" w:type="dxa"/>
          </w:tcPr>
          <w:p w14:paraId="1806A67C" w14:textId="77777777" w:rsidR="00481BC9" w:rsidRDefault="00186AF9">
            <w:pPr>
              <w:spacing w:before="100"/>
              <w:rPr>
                <w:sz w:val="22"/>
              </w:rPr>
            </w:pPr>
            <w:r>
              <w:rPr>
                <w:sz w:val="22"/>
              </w:rPr>
              <w:t>2018-01-18</w:t>
            </w:r>
          </w:p>
        </w:tc>
      </w:tr>
      <w:tr w:rsidR="00481BC9" w14:paraId="1BB5A6CD" w14:textId="77777777">
        <w:tc>
          <w:tcPr>
            <w:tcW w:w="2000" w:type="dxa"/>
          </w:tcPr>
          <w:p w14:paraId="3C500932" w14:textId="77777777" w:rsidR="00481BC9" w:rsidRDefault="00186AF9">
            <w:pPr>
              <w:spacing w:before="100"/>
              <w:rPr>
                <w:sz w:val="22"/>
              </w:rPr>
            </w:pPr>
            <w:r>
              <w:rPr>
                <w:sz w:val="22"/>
              </w:rPr>
              <w:t>Publisert</w:t>
            </w:r>
          </w:p>
        </w:tc>
        <w:tc>
          <w:tcPr>
            <w:tcW w:w="6000" w:type="dxa"/>
          </w:tcPr>
          <w:p w14:paraId="657D871F" w14:textId="77777777" w:rsidR="00481BC9" w:rsidRDefault="00186AF9">
            <w:pPr>
              <w:spacing w:before="100"/>
              <w:rPr>
                <w:sz w:val="22"/>
              </w:rPr>
            </w:pPr>
            <w:r>
              <w:rPr>
                <w:sz w:val="22"/>
              </w:rPr>
              <w:t>HR-2018-111-A</w:t>
            </w:r>
          </w:p>
        </w:tc>
      </w:tr>
      <w:tr w:rsidR="00481BC9" w14:paraId="2F373BC5" w14:textId="77777777">
        <w:tc>
          <w:tcPr>
            <w:tcW w:w="2000" w:type="dxa"/>
          </w:tcPr>
          <w:p w14:paraId="22CCC796" w14:textId="77777777" w:rsidR="00481BC9" w:rsidRDefault="00186AF9">
            <w:pPr>
              <w:spacing w:before="100"/>
              <w:rPr>
                <w:sz w:val="22"/>
              </w:rPr>
            </w:pPr>
            <w:r>
              <w:rPr>
                <w:sz w:val="22"/>
              </w:rPr>
              <w:t>Stikkord</w:t>
            </w:r>
          </w:p>
        </w:tc>
        <w:tc>
          <w:tcPr>
            <w:tcW w:w="6000" w:type="dxa"/>
          </w:tcPr>
          <w:p w14:paraId="2511996A" w14:textId="77777777" w:rsidR="00481BC9" w:rsidRDefault="00186AF9">
            <w:pPr>
              <w:spacing w:before="100"/>
              <w:rPr>
                <w:sz w:val="22"/>
              </w:rPr>
            </w:pPr>
            <w:r>
              <w:rPr>
                <w:sz w:val="22"/>
              </w:rPr>
              <w:t>Selskapsrett. Avtalerett. Forpliktelse til å tegne aksjer.</w:t>
            </w:r>
          </w:p>
        </w:tc>
      </w:tr>
      <w:tr w:rsidR="00481BC9" w14:paraId="7C502003" w14:textId="77777777">
        <w:tc>
          <w:tcPr>
            <w:tcW w:w="2000" w:type="dxa"/>
          </w:tcPr>
          <w:p w14:paraId="74FCBA3F" w14:textId="77777777" w:rsidR="00481BC9" w:rsidRDefault="00186AF9">
            <w:pPr>
              <w:spacing w:before="100"/>
              <w:rPr>
                <w:sz w:val="22"/>
              </w:rPr>
            </w:pPr>
            <w:r>
              <w:rPr>
                <w:sz w:val="22"/>
              </w:rPr>
              <w:t>Sammendrag</w:t>
            </w:r>
          </w:p>
        </w:tc>
        <w:tc>
          <w:tcPr>
            <w:tcW w:w="6000" w:type="dxa"/>
          </w:tcPr>
          <w:p w14:paraId="1E82003E" w14:textId="77777777" w:rsidR="00481BC9" w:rsidRDefault="00186AF9">
            <w:pPr>
              <w:spacing w:before="100"/>
              <w:rPr>
                <w:sz w:val="22"/>
              </w:rPr>
            </w:pPr>
            <w:r>
              <w:rPr>
                <w:sz w:val="22"/>
              </w:rPr>
              <w:t xml:space="preserve">I forbindelse med en kapitalforhøyelse i et aksjeselskap hadde en aksjonær gitt styrets leder ugjenkallelig fullmakt til å tegne et bestemt antall aksjer, og forpliktet seg til å innbetale tegningsbeløpet innen en fastsatt dato. Som følge av at innbetalingen ikke fant sted, ble melding om kapitalforhøyelsen ikke sendt Foretaksregisteret innen fristen i </w:t>
            </w:r>
            <w:hyperlink r:id="rId7" w:anchor="reference/lov/1997-06-13-44/§10-9" w:history="1">
              <w:r>
                <w:rPr>
                  <w:sz w:val="22"/>
                </w:rPr>
                <w:t>aksjeloven § 10-9</w:t>
              </w:r>
            </w:hyperlink>
            <w:r>
              <w:rPr>
                <w:sz w:val="22"/>
              </w:rPr>
              <w:t xml:space="preserve"> første ledd, slik at registrering av kapitalforhøyelsen ikke kunne finne sted, jf. </w:t>
            </w:r>
            <w:hyperlink r:id="rId8" w:anchor="reference/lov/1997-06-13-44/§10-9" w:history="1">
              <w:r>
                <w:rPr>
                  <w:sz w:val="22"/>
                </w:rPr>
                <w:t>aksjeloven § 10-9</w:t>
              </w:r>
            </w:hyperlink>
            <w:r>
              <w:rPr>
                <w:sz w:val="22"/>
              </w:rPr>
              <w:t xml:space="preserve"> tredje ledd. Høyesterett kom i motsetning til de tidligere instanser til at aksjetegners betalingsforpliktelse ikke var bortfalt ved oversittelsen av meldefristen i </w:t>
            </w:r>
            <w:hyperlink r:id="rId9" w:anchor="reference/lov/1997-06-13-44/§10-9" w:history="1">
              <w:r>
                <w:rPr>
                  <w:sz w:val="22"/>
                </w:rPr>
                <w:t>aksjeloven § 10-9</w:t>
              </w:r>
            </w:hyperlink>
            <w:r>
              <w:rPr>
                <w:sz w:val="22"/>
              </w:rPr>
              <w:t xml:space="preserve"> tredje ledd, når dette skyldtes tegners eget betalingsmislighold. Det var inngått en gjensidig forpliktende og bindende avtale mellom selskapet og aksjetegner som innebar at selskapet skulle levere aksjene mot at tegner innbetalte tegningsbeløpet. At det følger av lovens ordlyd at tegningen ikke lenger var bindende, når beløpet ikke ble betalt innen fristen i </w:t>
            </w:r>
            <w:hyperlink r:id="rId10" w:anchor="reference/lov/1997-06-13-44/§10-9" w:history="1">
              <w:r>
                <w:rPr>
                  <w:sz w:val="22"/>
                </w:rPr>
                <w:t>aksjeloven § 10-9</w:t>
              </w:r>
            </w:hyperlink>
            <w:r>
              <w:rPr>
                <w:sz w:val="22"/>
              </w:rPr>
              <w:t xml:space="preserve"> tredje ledd, kunne ikke være avgjørende når fristoversittelsen skyldtes tegners eget betalingsmislighold. Dersom lovgiver hadde ment å fravike et så grunnleggende kontraktsrettslig prinsipp, og innføre en regel om at en part kan fri seg fra egen avtaleforpliktelse ved selv å misligholde denne, måtte dette klart ha fremgått av loven. Lagmannsrettens dom ble opphevet. (</w:t>
            </w:r>
            <w:proofErr w:type="spellStart"/>
            <w:r>
              <w:rPr>
                <w:sz w:val="22"/>
              </w:rPr>
              <w:t>Rt</w:t>
            </w:r>
            <w:proofErr w:type="spellEnd"/>
            <w:r>
              <w:rPr>
                <w:sz w:val="22"/>
              </w:rPr>
              <w:t>-sammendrag)</w:t>
            </w:r>
          </w:p>
        </w:tc>
      </w:tr>
      <w:tr w:rsidR="00481BC9" w14:paraId="75836DA7" w14:textId="77777777">
        <w:tc>
          <w:tcPr>
            <w:tcW w:w="2000" w:type="dxa"/>
          </w:tcPr>
          <w:p w14:paraId="28E91CF6" w14:textId="77777777" w:rsidR="00481BC9" w:rsidRDefault="00186AF9">
            <w:pPr>
              <w:spacing w:before="100"/>
              <w:rPr>
                <w:sz w:val="22"/>
              </w:rPr>
            </w:pPr>
            <w:r>
              <w:rPr>
                <w:sz w:val="22"/>
              </w:rPr>
              <w:t>Saksgang</w:t>
            </w:r>
          </w:p>
        </w:tc>
        <w:tc>
          <w:tcPr>
            <w:tcW w:w="6000" w:type="dxa"/>
          </w:tcPr>
          <w:p w14:paraId="1208C53D" w14:textId="77777777" w:rsidR="00481BC9" w:rsidRDefault="00186AF9">
            <w:pPr>
              <w:spacing w:before="100"/>
              <w:rPr>
                <w:sz w:val="22"/>
              </w:rPr>
            </w:pPr>
            <w:r>
              <w:rPr>
                <w:sz w:val="22"/>
              </w:rPr>
              <w:t>Oslo tingrett TOSLO-2015-131381 – Borgarting lagmannsrett LB-2016-77884 – Høyesterett HR-2018-111-A, (sak nr. 2017/1573), sivil sak, anke over dom.</w:t>
            </w:r>
          </w:p>
        </w:tc>
      </w:tr>
      <w:tr w:rsidR="00481BC9" w14:paraId="0AD27C3E" w14:textId="77777777">
        <w:tc>
          <w:tcPr>
            <w:tcW w:w="2000" w:type="dxa"/>
          </w:tcPr>
          <w:p w14:paraId="4E129E39" w14:textId="77777777" w:rsidR="00481BC9" w:rsidRDefault="00186AF9">
            <w:pPr>
              <w:spacing w:before="100"/>
              <w:rPr>
                <w:sz w:val="22"/>
              </w:rPr>
            </w:pPr>
            <w:r>
              <w:rPr>
                <w:sz w:val="22"/>
              </w:rPr>
              <w:t>Parter</w:t>
            </w:r>
          </w:p>
        </w:tc>
        <w:tc>
          <w:tcPr>
            <w:tcW w:w="6000" w:type="dxa"/>
          </w:tcPr>
          <w:p w14:paraId="3B4CC29B" w14:textId="77777777" w:rsidR="00481BC9" w:rsidRDefault="00186AF9">
            <w:pPr>
              <w:spacing w:before="100"/>
              <w:rPr>
                <w:sz w:val="22"/>
              </w:rPr>
            </w:pPr>
            <w:r>
              <w:rPr>
                <w:sz w:val="22"/>
              </w:rPr>
              <w:t xml:space="preserve">Ree Minerals </w:t>
            </w:r>
            <w:proofErr w:type="spellStart"/>
            <w:r>
              <w:rPr>
                <w:sz w:val="22"/>
              </w:rPr>
              <w:t>Holding</w:t>
            </w:r>
            <w:proofErr w:type="spellEnd"/>
            <w:r>
              <w:rPr>
                <w:sz w:val="22"/>
              </w:rPr>
              <w:t xml:space="preserve"> AS (advokat Knud Jacob Knudsen) mot Norman Finans AS (advokat Stein Owe).</w:t>
            </w:r>
          </w:p>
        </w:tc>
      </w:tr>
      <w:tr w:rsidR="00481BC9" w14:paraId="686AD1E1" w14:textId="77777777">
        <w:tc>
          <w:tcPr>
            <w:tcW w:w="2000" w:type="dxa"/>
          </w:tcPr>
          <w:p w14:paraId="47F51863" w14:textId="77777777" w:rsidR="00481BC9" w:rsidRDefault="00186AF9">
            <w:pPr>
              <w:spacing w:before="100"/>
              <w:rPr>
                <w:sz w:val="22"/>
              </w:rPr>
            </w:pPr>
            <w:r>
              <w:rPr>
                <w:sz w:val="22"/>
              </w:rPr>
              <w:t>Forfatter</w:t>
            </w:r>
          </w:p>
        </w:tc>
        <w:tc>
          <w:tcPr>
            <w:tcW w:w="6000" w:type="dxa"/>
          </w:tcPr>
          <w:p w14:paraId="20B55AD8" w14:textId="77777777" w:rsidR="00481BC9" w:rsidRDefault="00186AF9">
            <w:pPr>
              <w:spacing w:before="100"/>
              <w:rPr>
                <w:sz w:val="22"/>
              </w:rPr>
            </w:pPr>
            <w:r>
              <w:rPr>
                <w:sz w:val="22"/>
              </w:rPr>
              <w:t>Dommerne Normann, Noer, Høgetveit Berg, Falch, Matningsdal.</w:t>
            </w:r>
          </w:p>
        </w:tc>
      </w:tr>
      <w:tr w:rsidR="00481BC9" w14:paraId="0740650C" w14:textId="77777777">
        <w:tc>
          <w:tcPr>
            <w:tcW w:w="2000" w:type="dxa"/>
          </w:tcPr>
          <w:p w14:paraId="65029488" w14:textId="77777777" w:rsidR="00481BC9" w:rsidRDefault="00186AF9">
            <w:pPr>
              <w:spacing w:before="100"/>
              <w:rPr>
                <w:sz w:val="22"/>
              </w:rPr>
            </w:pPr>
            <w:r>
              <w:rPr>
                <w:sz w:val="22"/>
              </w:rPr>
              <w:t>Sist oppdatert</w:t>
            </w:r>
          </w:p>
        </w:tc>
        <w:tc>
          <w:tcPr>
            <w:tcW w:w="6000" w:type="dxa"/>
          </w:tcPr>
          <w:p w14:paraId="2F08FF8C" w14:textId="77777777" w:rsidR="00481BC9" w:rsidRDefault="00186AF9">
            <w:pPr>
              <w:spacing w:before="100"/>
              <w:rPr>
                <w:sz w:val="22"/>
              </w:rPr>
            </w:pPr>
            <w:r>
              <w:rPr>
                <w:sz w:val="22"/>
              </w:rPr>
              <w:t>2018-01-24</w:t>
            </w:r>
          </w:p>
        </w:tc>
      </w:tr>
    </w:tbl>
    <w:p w14:paraId="4C711FE7" w14:textId="77777777" w:rsidR="00481BC9" w:rsidRDefault="00481BC9">
      <w:pPr>
        <w:spacing w:before="100"/>
        <w:jc w:val="center"/>
        <w:rPr>
          <w:sz w:val="22"/>
        </w:rPr>
      </w:pPr>
    </w:p>
    <w:p w14:paraId="2AE1B0A5" w14:textId="77777777" w:rsidR="00481BC9" w:rsidRDefault="00186AF9">
      <w:pPr>
        <w:jc w:val="center"/>
        <w:rPr>
          <w:sz w:val="22"/>
        </w:rPr>
      </w:pPr>
      <w:r>
        <w:pict w14:anchorId="69BD52C7">
          <v:rect id="_x0000_i1025" style="width:493.3pt;height:2.25pt" o:hralign="center" o:hrstd="t" o:hrnoshade="t" o:hr="t" fillcolor="#cd0c1a" stroked="f">
            <v:path strokeok="f"/>
          </v:rect>
        </w:pict>
      </w:r>
    </w:p>
    <w:p w14:paraId="2F42679C" w14:textId="77777777" w:rsidR="00481BC9" w:rsidRDefault="00186AF9">
      <w:pPr>
        <w:jc w:val="center"/>
        <w:rPr>
          <w:sz w:val="22"/>
        </w:rPr>
      </w:pPr>
      <w:r>
        <w:rPr>
          <w:sz w:val="22"/>
        </w:rPr>
        <w:br w:type="page"/>
      </w:r>
      <w:bookmarkEnd w:id="0"/>
    </w:p>
    <w:p w14:paraId="218D91F5" w14:textId="77777777" w:rsidR="00481BC9" w:rsidRDefault="00481BC9">
      <w:pPr>
        <w:rPr>
          <w:sz w:val="6"/>
        </w:rPr>
      </w:pPr>
      <w:bookmarkStart w:id="1" w:name="documentBody"/>
    </w:p>
    <w:p w14:paraId="4F252604"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7A749056" w14:textId="77777777">
        <w:tc>
          <w:tcPr>
            <w:tcW w:w="720" w:type="dxa"/>
            <w:noWrap/>
            <w:tcMar>
              <w:right w:w="80" w:type="dxa"/>
            </w:tcMar>
          </w:tcPr>
          <w:p w14:paraId="5F304244" w14:textId="77777777" w:rsidR="00481BC9" w:rsidRDefault="00186AF9">
            <w:pPr>
              <w:rPr>
                <w:sz w:val="22"/>
              </w:rPr>
            </w:pPr>
            <w:r>
              <w:rPr>
                <w:sz w:val="22"/>
              </w:rPr>
              <w:t>(1)</w:t>
            </w:r>
          </w:p>
        </w:tc>
        <w:tc>
          <w:tcPr>
            <w:tcW w:w="0" w:type="auto"/>
            <w:tcMar>
              <w:right w:w="80" w:type="dxa"/>
            </w:tcMar>
          </w:tcPr>
          <w:p w14:paraId="596B0A3C" w14:textId="77777777" w:rsidR="00481BC9" w:rsidRDefault="00186AF9">
            <w:pPr>
              <w:rPr>
                <w:sz w:val="22"/>
              </w:rPr>
            </w:pPr>
            <w:r>
              <w:rPr>
                <w:sz w:val="22"/>
              </w:rPr>
              <w:t xml:space="preserve">Dommer </w:t>
            </w:r>
            <w:r>
              <w:rPr>
                <w:b/>
                <w:sz w:val="22"/>
              </w:rPr>
              <w:t>Normann:</w:t>
            </w:r>
            <w:r>
              <w:rPr>
                <w:sz w:val="22"/>
              </w:rPr>
              <w:t xml:space="preserve"> Saken gjelder krav om oppfyllelse av forpliktelse til å tegne aksjer ved kapitalforhøyelse. Spørsmålet er om aksjetegners betalingsforpliktelse bortfaller når meldefristen i </w:t>
            </w:r>
            <w:hyperlink r:id="rId11" w:anchor="reference/lov/1997-06-13-44/§10-9" w:history="1">
              <w:r>
                <w:rPr>
                  <w:sz w:val="22"/>
                </w:rPr>
                <w:t>aksjeloven § 10-9</w:t>
              </w:r>
            </w:hyperlink>
            <w:r>
              <w:rPr>
                <w:sz w:val="22"/>
              </w:rPr>
              <w:t xml:space="preserve"> tredje ledd er oversittet, og dette skyldes tegners eget betalingsmislighold.</w:t>
            </w:r>
          </w:p>
        </w:tc>
      </w:tr>
    </w:tbl>
    <w:p w14:paraId="64D22CB3" w14:textId="77777777" w:rsidR="00481BC9" w:rsidRDefault="00481BC9">
      <w:pPr>
        <w:rPr>
          <w:sz w:val="6"/>
        </w:rPr>
      </w:pPr>
    </w:p>
    <w:p w14:paraId="6E09B9CC"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08A3C5C4" w14:textId="77777777">
        <w:tc>
          <w:tcPr>
            <w:tcW w:w="720" w:type="dxa"/>
            <w:noWrap/>
            <w:tcMar>
              <w:right w:w="80" w:type="dxa"/>
            </w:tcMar>
          </w:tcPr>
          <w:p w14:paraId="0629C119" w14:textId="77777777" w:rsidR="00481BC9" w:rsidRDefault="00186AF9">
            <w:pPr>
              <w:rPr>
                <w:sz w:val="22"/>
              </w:rPr>
            </w:pPr>
            <w:r>
              <w:rPr>
                <w:sz w:val="22"/>
              </w:rPr>
              <w:t>(2)</w:t>
            </w:r>
          </w:p>
        </w:tc>
        <w:tc>
          <w:tcPr>
            <w:tcW w:w="0" w:type="auto"/>
            <w:tcMar>
              <w:right w:w="80" w:type="dxa"/>
            </w:tcMar>
          </w:tcPr>
          <w:p w14:paraId="0AE18479" w14:textId="77777777" w:rsidR="00481BC9" w:rsidRDefault="00186AF9">
            <w:pPr>
              <w:rPr>
                <w:sz w:val="22"/>
              </w:rPr>
            </w:pPr>
            <w:r>
              <w:rPr>
                <w:sz w:val="22"/>
              </w:rPr>
              <w:t xml:space="preserve">Ree Minerals AS – </w:t>
            </w:r>
            <w:proofErr w:type="spellStart"/>
            <w:r>
              <w:rPr>
                <w:sz w:val="22"/>
              </w:rPr>
              <w:t>ReeM</w:t>
            </w:r>
            <w:proofErr w:type="spellEnd"/>
            <w:r>
              <w:rPr>
                <w:sz w:val="22"/>
              </w:rPr>
              <w:t xml:space="preserve"> – har som formål å utvikle og utvinne drivverdige forekomster av sjeldne mineraler og jordarter/jordmetaller. Selskapet fikk i 2014 utvinningstillatelse fra Direktoratet for Mineralforvaltning i Fensfeltet på Ulefoss i Nome kommune. Selskapets navn ble ved vedtak på generalforsamling 13. juni 2017 endret til Ree Minerals </w:t>
            </w:r>
            <w:proofErr w:type="spellStart"/>
            <w:r>
              <w:rPr>
                <w:sz w:val="22"/>
              </w:rPr>
              <w:t>Holding</w:t>
            </w:r>
            <w:proofErr w:type="spellEnd"/>
            <w:r>
              <w:rPr>
                <w:sz w:val="22"/>
              </w:rPr>
              <w:t xml:space="preserve"> AS.</w:t>
            </w:r>
          </w:p>
        </w:tc>
      </w:tr>
    </w:tbl>
    <w:p w14:paraId="0DE69F56" w14:textId="77777777" w:rsidR="00481BC9" w:rsidRDefault="00481BC9">
      <w:pPr>
        <w:rPr>
          <w:sz w:val="6"/>
        </w:rPr>
      </w:pPr>
    </w:p>
    <w:p w14:paraId="637B6362"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61CA2659" w14:textId="77777777">
        <w:tc>
          <w:tcPr>
            <w:tcW w:w="720" w:type="dxa"/>
            <w:noWrap/>
            <w:tcMar>
              <w:right w:w="80" w:type="dxa"/>
            </w:tcMar>
          </w:tcPr>
          <w:p w14:paraId="0FA088D6" w14:textId="77777777" w:rsidR="00481BC9" w:rsidRDefault="00186AF9">
            <w:pPr>
              <w:rPr>
                <w:sz w:val="22"/>
              </w:rPr>
            </w:pPr>
            <w:r>
              <w:rPr>
                <w:sz w:val="22"/>
              </w:rPr>
              <w:t>(3)</w:t>
            </w:r>
          </w:p>
        </w:tc>
        <w:tc>
          <w:tcPr>
            <w:tcW w:w="0" w:type="auto"/>
            <w:tcMar>
              <w:right w:w="80" w:type="dxa"/>
            </w:tcMar>
          </w:tcPr>
          <w:p w14:paraId="1CAE323E" w14:textId="77777777" w:rsidR="00481BC9" w:rsidRDefault="00186AF9">
            <w:pPr>
              <w:rPr>
                <w:sz w:val="22"/>
              </w:rPr>
            </w:pPr>
            <w:r>
              <w:rPr>
                <w:sz w:val="22"/>
              </w:rPr>
              <w:t xml:space="preserve">Norman Finans AS eies av Harald Norman, som er eneeier og styreleder. Selskapet het tidligere Norman Assuranse AS, men endret i 2015 navn i forbindelse med et generasjonsskifte. Selskapet, som i det følgende omtales som Norman Finans eller NF, har vært aksjonær i </w:t>
            </w:r>
            <w:proofErr w:type="spellStart"/>
            <w:r>
              <w:rPr>
                <w:sz w:val="22"/>
              </w:rPr>
              <w:t>ReeM</w:t>
            </w:r>
            <w:proofErr w:type="spellEnd"/>
            <w:r>
              <w:rPr>
                <w:sz w:val="22"/>
              </w:rPr>
              <w:t xml:space="preserve"> siden 2011. I tillegg ble Harald Norman personlig aksjonær i 2013.</w:t>
            </w:r>
          </w:p>
        </w:tc>
      </w:tr>
    </w:tbl>
    <w:p w14:paraId="232E1C85" w14:textId="77777777" w:rsidR="00481BC9" w:rsidRDefault="00481BC9">
      <w:pPr>
        <w:rPr>
          <w:sz w:val="6"/>
        </w:rPr>
      </w:pPr>
    </w:p>
    <w:p w14:paraId="3B08DB48"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52193D10" w14:textId="77777777">
        <w:tc>
          <w:tcPr>
            <w:tcW w:w="720" w:type="dxa"/>
            <w:noWrap/>
            <w:tcMar>
              <w:right w:w="80" w:type="dxa"/>
            </w:tcMar>
          </w:tcPr>
          <w:p w14:paraId="5DD11F23" w14:textId="77777777" w:rsidR="00481BC9" w:rsidRDefault="00186AF9">
            <w:pPr>
              <w:rPr>
                <w:sz w:val="22"/>
              </w:rPr>
            </w:pPr>
            <w:r>
              <w:rPr>
                <w:sz w:val="22"/>
              </w:rPr>
              <w:t>(4)</w:t>
            </w:r>
          </w:p>
        </w:tc>
        <w:tc>
          <w:tcPr>
            <w:tcW w:w="0" w:type="auto"/>
            <w:tcMar>
              <w:right w:w="80" w:type="dxa"/>
            </w:tcMar>
          </w:tcPr>
          <w:p w14:paraId="3AA47495" w14:textId="77777777" w:rsidR="00481BC9" w:rsidRDefault="00186AF9">
            <w:pPr>
              <w:rPr>
                <w:sz w:val="22"/>
              </w:rPr>
            </w:pPr>
            <w:r>
              <w:rPr>
                <w:sz w:val="22"/>
              </w:rPr>
              <w:t xml:space="preserve">Etter en orientering om kapitalforhøyelse i </w:t>
            </w:r>
            <w:proofErr w:type="spellStart"/>
            <w:r>
              <w:rPr>
                <w:sz w:val="22"/>
              </w:rPr>
              <w:t>ReeM</w:t>
            </w:r>
            <w:proofErr w:type="spellEnd"/>
            <w:r>
              <w:rPr>
                <w:sz w:val="22"/>
              </w:rPr>
              <w:t xml:space="preserve"> undertegnet Harald Norman på vegne av NF i et møte 28. februar 2014 en ugjenkallelig tegningsfullmakt, som ga styreleder i </w:t>
            </w:r>
            <w:proofErr w:type="spellStart"/>
            <w:r>
              <w:rPr>
                <w:sz w:val="22"/>
              </w:rPr>
              <w:t>ReeM</w:t>
            </w:r>
            <w:proofErr w:type="spellEnd"/>
            <w:r>
              <w:rPr>
                <w:sz w:val="22"/>
              </w:rPr>
              <w:t xml:space="preserve"> fullmakt til å tegne aksjer i styrets forestående vedtak om kapitalforhøyelse. Det er ikke omstridt for Høyesterett at styret hadde fullmakt til å gjennomføre denne kapitalforhøyelsen, jf. </w:t>
            </w:r>
            <w:hyperlink r:id="rId12" w:anchor="reference/lov/1997-06-13-44/§10-14" w:history="1">
              <w:r>
                <w:rPr>
                  <w:sz w:val="22"/>
                </w:rPr>
                <w:t>aksjeloven § 10-14</w:t>
              </w:r>
            </w:hyperlink>
            <w:r>
              <w:rPr>
                <w:sz w:val="22"/>
              </w:rPr>
              <w:t>.</w:t>
            </w:r>
          </w:p>
        </w:tc>
      </w:tr>
    </w:tbl>
    <w:p w14:paraId="2D486CD9" w14:textId="77777777" w:rsidR="00481BC9" w:rsidRDefault="00481BC9">
      <w:pPr>
        <w:rPr>
          <w:sz w:val="6"/>
        </w:rPr>
      </w:pPr>
    </w:p>
    <w:p w14:paraId="4E849919"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421034D4" w14:textId="77777777">
        <w:tc>
          <w:tcPr>
            <w:tcW w:w="720" w:type="dxa"/>
            <w:noWrap/>
            <w:tcMar>
              <w:right w:w="80" w:type="dxa"/>
            </w:tcMar>
          </w:tcPr>
          <w:p w14:paraId="4FF22CDF" w14:textId="77777777" w:rsidR="00481BC9" w:rsidRDefault="00186AF9">
            <w:pPr>
              <w:rPr>
                <w:sz w:val="22"/>
              </w:rPr>
            </w:pPr>
            <w:r>
              <w:rPr>
                <w:sz w:val="22"/>
              </w:rPr>
              <w:t>(5)</w:t>
            </w:r>
          </w:p>
        </w:tc>
        <w:tc>
          <w:tcPr>
            <w:tcW w:w="0" w:type="auto"/>
            <w:tcMar>
              <w:right w:w="80" w:type="dxa"/>
            </w:tcMar>
          </w:tcPr>
          <w:p w14:paraId="18B04A38" w14:textId="77777777" w:rsidR="00481BC9" w:rsidRDefault="00186AF9">
            <w:pPr>
              <w:rPr>
                <w:sz w:val="6"/>
              </w:rPr>
            </w:pPr>
            <w:r>
              <w:rPr>
                <w:sz w:val="22"/>
              </w:rPr>
              <w:t>Dokumentet, som i overskriften er betegnet som «TILBUD OM TEGNING AV AKSJER I REE MINERALS AS», har følgende innhold:</w:t>
            </w:r>
          </w:p>
          <w:p w14:paraId="3E1C0CB4" w14:textId="77777777" w:rsidR="00481BC9" w:rsidRDefault="00186AF9">
            <w:pPr>
              <w:spacing w:before="120"/>
              <w:ind w:left="1080"/>
              <w:rPr>
                <w:sz w:val="6"/>
              </w:rPr>
            </w:pPr>
            <w:r>
              <w:rPr>
                <w:sz w:val="22"/>
              </w:rPr>
              <w:t xml:space="preserve">«I henhold til orientering om kapitalforhøyelse i REE Minerals AS </w:t>
            </w:r>
            <w:r>
              <w:rPr>
                <w:sz w:val="22"/>
              </w:rPr>
              <w:t xml:space="preserve">tilbys med dette alle aksjonærer å tegne aksjer i selskapet. </w:t>
            </w:r>
            <w:proofErr w:type="spellStart"/>
            <w:r>
              <w:rPr>
                <w:sz w:val="22"/>
              </w:rPr>
              <w:t>Tegningskursen</w:t>
            </w:r>
            <w:proofErr w:type="spellEnd"/>
            <w:r>
              <w:rPr>
                <w:sz w:val="22"/>
              </w:rPr>
              <w:t xml:space="preserve"> per aksje skal være NOK 160.</w:t>
            </w:r>
          </w:p>
          <w:p w14:paraId="55201E5F" w14:textId="77777777" w:rsidR="00481BC9" w:rsidRDefault="00186AF9">
            <w:pPr>
              <w:spacing w:before="120"/>
              <w:ind w:left="1080"/>
              <w:rPr>
                <w:sz w:val="6"/>
              </w:rPr>
            </w:pPr>
            <w:r>
              <w:rPr>
                <w:sz w:val="22"/>
              </w:rPr>
              <w:t>Dersom du/dere ønsker å delta i emisjonen bes returnert nedenstående skjema hvor styreleder Aslak Aslaksen gis fullmakt til å tegne ønsket antall aksjer på din/deres vegne.</w:t>
            </w:r>
          </w:p>
          <w:p w14:paraId="4C39F934" w14:textId="77777777" w:rsidR="00481BC9" w:rsidRDefault="00186AF9">
            <w:pPr>
              <w:spacing w:before="120"/>
              <w:ind w:left="1080"/>
              <w:rPr>
                <w:sz w:val="6"/>
              </w:rPr>
            </w:pPr>
            <w:r>
              <w:rPr>
                <w:sz w:val="22"/>
              </w:rPr>
              <w:t xml:space="preserve">Tegningsfristen er </w:t>
            </w:r>
            <w:r>
              <w:rPr>
                <w:sz w:val="22"/>
                <w:u w:val="single"/>
              </w:rPr>
              <w:t>28. februar 2014.</w:t>
            </w:r>
            <w:r>
              <w:rPr>
                <w:sz w:val="22"/>
              </w:rPr>
              <w:t xml:space="preserve"> Fullmakten må være kommet frem per epost til styreleder Aslak Aslaksen. innen kl. 1200 denne datoen.</w:t>
            </w:r>
          </w:p>
          <w:p w14:paraId="671A1FCC" w14:textId="77777777" w:rsidR="00481BC9" w:rsidRDefault="00186AF9">
            <w:pPr>
              <w:spacing w:before="120"/>
              <w:ind w:left="1080"/>
              <w:rPr>
                <w:sz w:val="6"/>
              </w:rPr>
            </w:pPr>
            <w:r>
              <w:rPr>
                <w:sz w:val="22"/>
              </w:rPr>
              <w:t>Fullmakt til aksjetegning:</w:t>
            </w:r>
          </w:p>
          <w:p w14:paraId="7042C221" w14:textId="77777777" w:rsidR="00481BC9" w:rsidRDefault="00186AF9">
            <w:pPr>
              <w:spacing w:before="120"/>
              <w:ind w:left="1080"/>
              <w:rPr>
                <w:sz w:val="6"/>
              </w:rPr>
            </w:pPr>
            <w:r>
              <w:rPr>
                <w:sz w:val="22"/>
              </w:rPr>
              <w:t xml:space="preserve">I henhold til ovenstående gir jeg/vi herved ugjenkallelig fullmakt til styreleder Aslak Aslaksen å tegne på min/våre vegne </w:t>
            </w:r>
            <w:r>
              <w:rPr>
                <w:sz w:val="22"/>
                <w:u w:val="single"/>
              </w:rPr>
              <w:t>75.000</w:t>
            </w:r>
            <w:r>
              <w:rPr>
                <w:sz w:val="22"/>
              </w:rPr>
              <w:t xml:space="preserve"> antall aksjer i Ree Minerals AS hver pålydende NOK 1 til en tegningskurs på NOK 160 per aksje, samlet tegningsbeløp utgjør NOK </w:t>
            </w:r>
            <w:r>
              <w:rPr>
                <w:sz w:val="22"/>
                <w:u w:val="single"/>
              </w:rPr>
              <w:t>12. 000 000,-</w:t>
            </w:r>
            <w:r>
              <w:rPr>
                <w:sz w:val="22"/>
              </w:rPr>
              <w:t xml:space="preserve"> . Jeg/vi forplikter meg/oss til å foreta innbetaling til selskapets konto ... innen </w:t>
            </w:r>
            <w:r>
              <w:rPr>
                <w:sz w:val="22"/>
                <w:u w:val="single"/>
              </w:rPr>
              <w:t>14. mars 2014</w:t>
            </w:r>
            <w:r>
              <w:rPr>
                <w:sz w:val="22"/>
              </w:rPr>
              <w:t xml:space="preserve"> i tråd med styrets forestående vedtak om kapitalforhøyelse i selskapet.</w:t>
            </w:r>
          </w:p>
          <w:p w14:paraId="4C1E50D7" w14:textId="77777777" w:rsidR="00481BC9" w:rsidRDefault="00186AF9">
            <w:pPr>
              <w:spacing w:before="120"/>
              <w:ind w:left="1080"/>
              <w:rPr>
                <w:sz w:val="22"/>
              </w:rPr>
            </w:pPr>
            <w:r>
              <w:rPr>
                <w:sz w:val="22"/>
              </w:rPr>
              <w:t>Navn: Norman Assuranse AS</w:t>
            </w:r>
            <w:r>
              <w:rPr>
                <w:sz w:val="22"/>
              </w:rPr>
              <w:br/>
              <w:t>Adresse: Pilestredet 39, 0166 Oslo</w:t>
            </w:r>
            <w:r>
              <w:rPr>
                <w:sz w:val="22"/>
              </w:rPr>
              <w:br/>
              <w:t>Org nr./</w:t>
            </w:r>
            <w:proofErr w:type="spellStart"/>
            <w:r>
              <w:rPr>
                <w:sz w:val="22"/>
              </w:rPr>
              <w:t>fnr</w:t>
            </w:r>
            <w:proofErr w:type="spellEnd"/>
            <w:r>
              <w:rPr>
                <w:sz w:val="22"/>
              </w:rPr>
              <w:t>: 914025699</w:t>
            </w:r>
            <w:r>
              <w:rPr>
                <w:sz w:val="22"/>
              </w:rPr>
              <w:br/>
              <w:t>Sted, dato: Oslo 28/2 – 2014</w:t>
            </w:r>
            <w:r>
              <w:rPr>
                <w:sz w:val="22"/>
              </w:rPr>
              <w:br/>
              <w:t>...»</w:t>
            </w:r>
          </w:p>
        </w:tc>
      </w:tr>
    </w:tbl>
    <w:p w14:paraId="02C77200" w14:textId="77777777" w:rsidR="00481BC9" w:rsidRDefault="00481BC9">
      <w:pPr>
        <w:rPr>
          <w:sz w:val="6"/>
        </w:rPr>
      </w:pPr>
    </w:p>
    <w:p w14:paraId="386D1A54"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1C931C50" w14:textId="77777777">
        <w:tc>
          <w:tcPr>
            <w:tcW w:w="720" w:type="dxa"/>
            <w:noWrap/>
            <w:tcMar>
              <w:right w:w="80" w:type="dxa"/>
            </w:tcMar>
          </w:tcPr>
          <w:p w14:paraId="4C97E86D" w14:textId="77777777" w:rsidR="00481BC9" w:rsidRDefault="00186AF9">
            <w:pPr>
              <w:rPr>
                <w:sz w:val="22"/>
              </w:rPr>
            </w:pPr>
            <w:r>
              <w:rPr>
                <w:sz w:val="22"/>
              </w:rPr>
              <w:t>(6)</w:t>
            </w:r>
          </w:p>
        </w:tc>
        <w:tc>
          <w:tcPr>
            <w:tcW w:w="0" w:type="auto"/>
            <w:tcMar>
              <w:right w:w="80" w:type="dxa"/>
            </w:tcMar>
          </w:tcPr>
          <w:p w14:paraId="7ABC7B41" w14:textId="77777777" w:rsidR="00481BC9" w:rsidRDefault="00186AF9">
            <w:pPr>
              <w:rPr>
                <w:sz w:val="6"/>
              </w:rPr>
            </w:pPr>
            <w:r>
              <w:rPr>
                <w:sz w:val="22"/>
              </w:rPr>
              <w:t>Dokumentet er undertegnet av Harald Norman, som for hånd påførte følgende forutsetning for tegningen:</w:t>
            </w:r>
          </w:p>
          <w:p w14:paraId="2BD16EC4" w14:textId="77777777" w:rsidR="00481BC9" w:rsidRDefault="00186AF9">
            <w:pPr>
              <w:spacing w:before="120"/>
              <w:ind w:left="1080"/>
              <w:rPr>
                <w:sz w:val="22"/>
              </w:rPr>
            </w:pPr>
            <w:r>
              <w:rPr>
                <w:sz w:val="22"/>
              </w:rPr>
              <w:t>«Tilbudet forutsetter en opsjon på kjøp av ytterligere 85 000 aksjer til NOK 200; = NOK 17. 000 000,- med varighet ut året 2015.»</w:t>
            </w:r>
          </w:p>
        </w:tc>
      </w:tr>
    </w:tbl>
    <w:p w14:paraId="52B1EB00" w14:textId="77777777" w:rsidR="00481BC9" w:rsidRDefault="00481BC9">
      <w:pPr>
        <w:rPr>
          <w:sz w:val="6"/>
        </w:rPr>
      </w:pPr>
    </w:p>
    <w:p w14:paraId="0E9132D9"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78C73FA6" w14:textId="77777777">
        <w:tc>
          <w:tcPr>
            <w:tcW w:w="720" w:type="dxa"/>
            <w:noWrap/>
            <w:tcMar>
              <w:right w:w="80" w:type="dxa"/>
            </w:tcMar>
          </w:tcPr>
          <w:p w14:paraId="73586C1F" w14:textId="77777777" w:rsidR="00481BC9" w:rsidRDefault="00186AF9">
            <w:pPr>
              <w:rPr>
                <w:sz w:val="22"/>
              </w:rPr>
            </w:pPr>
            <w:r>
              <w:rPr>
                <w:sz w:val="22"/>
              </w:rPr>
              <w:t>(7)</w:t>
            </w:r>
          </w:p>
        </w:tc>
        <w:tc>
          <w:tcPr>
            <w:tcW w:w="0" w:type="auto"/>
            <w:tcMar>
              <w:right w:w="80" w:type="dxa"/>
            </w:tcMar>
          </w:tcPr>
          <w:p w14:paraId="2238D16E" w14:textId="77777777" w:rsidR="00481BC9" w:rsidRDefault="00186AF9">
            <w:pPr>
              <w:rPr>
                <w:sz w:val="22"/>
              </w:rPr>
            </w:pPr>
            <w:r>
              <w:rPr>
                <w:sz w:val="22"/>
              </w:rPr>
              <w:t xml:space="preserve">I e-post 3. </w:t>
            </w:r>
            <w:r>
              <w:rPr>
                <w:sz w:val="22"/>
              </w:rPr>
              <w:t xml:space="preserve">mars 2014 til Norman fra styreleder Aslaksen ble forutsetningen akseptert av </w:t>
            </w:r>
            <w:proofErr w:type="spellStart"/>
            <w:r>
              <w:rPr>
                <w:sz w:val="22"/>
              </w:rPr>
              <w:t>ReeM</w:t>
            </w:r>
            <w:proofErr w:type="spellEnd"/>
            <w:r>
              <w:rPr>
                <w:sz w:val="22"/>
              </w:rPr>
              <w:t xml:space="preserve">. Videre opplyser Aslaksen i en e-post 5. mars 2014 at han nettopp hadde snakket med Norman, og at Norman hadde bekreftet at han hadde mottatt </w:t>
            </w:r>
            <w:proofErr w:type="spellStart"/>
            <w:r>
              <w:rPr>
                <w:sz w:val="22"/>
              </w:rPr>
              <w:t>ReeMs</w:t>
            </w:r>
            <w:proofErr w:type="spellEnd"/>
            <w:r>
              <w:rPr>
                <w:sz w:val="22"/>
              </w:rPr>
              <w:t xml:space="preserve"> aksept, og at betaling ville finne sted innen fristen.</w:t>
            </w:r>
          </w:p>
        </w:tc>
      </w:tr>
    </w:tbl>
    <w:p w14:paraId="0EE1C994" w14:textId="77777777" w:rsidR="00481BC9" w:rsidRDefault="00481BC9">
      <w:pPr>
        <w:rPr>
          <w:sz w:val="6"/>
        </w:rPr>
      </w:pPr>
    </w:p>
    <w:p w14:paraId="06FEF96D"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16725ECC" w14:textId="77777777">
        <w:tc>
          <w:tcPr>
            <w:tcW w:w="720" w:type="dxa"/>
            <w:noWrap/>
            <w:tcMar>
              <w:right w:w="80" w:type="dxa"/>
            </w:tcMar>
          </w:tcPr>
          <w:p w14:paraId="7EB38916" w14:textId="77777777" w:rsidR="00481BC9" w:rsidRDefault="00186AF9">
            <w:pPr>
              <w:rPr>
                <w:sz w:val="22"/>
              </w:rPr>
            </w:pPr>
            <w:r>
              <w:rPr>
                <w:sz w:val="22"/>
              </w:rPr>
              <w:lastRenderedPageBreak/>
              <w:t>(8)</w:t>
            </w:r>
          </w:p>
        </w:tc>
        <w:tc>
          <w:tcPr>
            <w:tcW w:w="0" w:type="auto"/>
            <w:tcMar>
              <w:right w:w="80" w:type="dxa"/>
            </w:tcMar>
          </w:tcPr>
          <w:p w14:paraId="489EFD90" w14:textId="77777777" w:rsidR="00481BC9" w:rsidRDefault="00186AF9">
            <w:pPr>
              <w:rPr>
                <w:sz w:val="22"/>
              </w:rPr>
            </w:pPr>
            <w:r>
              <w:rPr>
                <w:sz w:val="22"/>
              </w:rPr>
              <w:t xml:space="preserve">I styremøte i </w:t>
            </w:r>
            <w:proofErr w:type="spellStart"/>
            <w:r>
              <w:rPr>
                <w:sz w:val="22"/>
              </w:rPr>
              <w:t>ReeM</w:t>
            </w:r>
            <w:proofErr w:type="spellEnd"/>
            <w:r>
              <w:rPr>
                <w:sz w:val="22"/>
              </w:rPr>
              <w:t xml:space="preserve"> 6. mars 2014 ble det truffet vedtak om kapitalforhøyelse, og </w:t>
            </w:r>
            <w:proofErr w:type="spellStart"/>
            <w:r>
              <w:rPr>
                <w:sz w:val="22"/>
              </w:rPr>
              <w:t>NFs</w:t>
            </w:r>
            <w:proofErr w:type="spellEnd"/>
            <w:r>
              <w:rPr>
                <w:sz w:val="22"/>
              </w:rPr>
              <w:t xml:space="preserve"> aksjetegning ble gjennomført ved bruk av tegningsfullmakten. </w:t>
            </w:r>
            <w:proofErr w:type="spellStart"/>
            <w:r>
              <w:rPr>
                <w:sz w:val="22"/>
              </w:rPr>
              <w:t>Tegningskursen</w:t>
            </w:r>
            <w:proofErr w:type="spellEnd"/>
            <w:r>
              <w:rPr>
                <w:sz w:val="22"/>
              </w:rPr>
              <w:t xml:space="preserve"> ble satt til 160 kroner per aksje, til sammen 12 millioner kroner, hvorav 75 000 kroner var aksjekapital og 11 925 000 kroner var overkurs. Beløpet skulle betales av NF innen 14. mars 2014.</w:t>
            </w:r>
          </w:p>
        </w:tc>
      </w:tr>
    </w:tbl>
    <w:p w14:paraId="3CAB77A6" w14:textId="77777777" w:rsidR="00481BC9" w:rsidRDefault="00481BC9">
      <w:pPr>
        <w:rPr>
          <w:sz w:val="6"/>
        </w:rPr>
      </w:pPr>
    </w:p>
    <w:p w14:paraId="1919F658"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1977F092" w14:textId="77777777">
        <w:tc>
          <w:tcPr>
            <w:tcW w:w="720" w:type="dxa"/>
            <w:noWrap/>
            <w:tcMar>
              <w:right w:w="80" w:type="dxa"/>
            </w:tcMar>
          </w:tcPr>
          <w:p w14:paraId="140C5C0C" w14:textId="77777777" w:rsidR="00481BC9" w:rsidRDefault="00186AF9">
            <w:pPr>
              <w:rPr>
                <w:sz w:val="22"/>
              </w:rPr>
            </w:pPr>
            <w:r>
              <w:rPr>
                <w:sz w:val="22"/>
              </w:rPr>
              <w:t>(9)</w:t>
            </w:r>
          </w:p>
        </w:tc>
        <w:tc>
          <w:tcPr>
            <w:tcW w:w="0" w:type="auto"/>
            <w:tcMar>
              <w:right w:w="80" w:type="dxa"/>
            </w:tcMar>
          </w:tcPr>
          <w:p w14:paraId="3933F62D" w14:textId="77777777" w:rsidR="00481BC9" w:rsidRDefault="00186AF9">
            <w:pPr>
              <w:rPr>
                <w:sz w:val="22"/>
              </w:rPr>
            </w:pPr>
            <w:r>
              <w:rPr>
                <w:sz w:val="22"/>
              </w:rPr>
              <w:t xml:space="preserve">Til tross for </w:t>
            </w:r>
            <w:proofErr w:type="spellStart"/>
            <w:r>
              <w:rPr>
                <w:sz w:val="22"/>
              </w:rPr>
              <w:t>ReeMs</w:t>
            </w:r>
            <w:proofErr w:type="spellEnd"/>
            <w:r>
              <w:rPr>
                <w:sz w:val="22"/>
              </w:rPr>
              <w:t xml:space="preserve"> ulike forsøk på å oppnå betaling ble beløpet ikke innbetalt innen fristen, med den følge at kapitalforhøyelsen ikke kunne gjennomføres, jf. </w:t>
            </w:r>
            <w:hyperlink r:id="rId13" w:anchor="reference/lov/1997-06-13-44/§10-9" w:history="1">
              <w:r>
                <w:rPr>
                  <w:sz w:val="22"/>
                </w:rPr>
                <w:t>aksjeloven § 10-9</w:t>
              </w:r>
            </w:hyperlink>
            <w:r>
              <w:rPr>
                <w:sz w:val="22"/>
              </w:rPr>
              <w:t xml:space="preserve"> tredje ledd.</w:t>
            </w:r>
          </w:p>
        </w:tc>
      </w:tr>
    </w:tbl>
    <w:p w14:paraId="2954CACF" w14:textId="77777777" w:rsidR="00481BC9" w:rsidRDefault="00481BC9">
      <w:pPr>
        <w:rPr>
          <w:sz w:val="6"/>
        </w:rPr>
      </w:pPr>
    </w:p>
    <w:p w14:paraId="34F542C3"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58E08575" w14:textId="77777777">
        <w:tc>
          <w:tcPr>
            <w:tcW w:w="720" w:type="dxa"/>
            <w:noWrap/>
            <w:tcMar>
              <w:right w:w="80" w:type="dxa"/>
            </w:tcMar>
          </w:tcPr>
          <w:p w14:paraId="400F0B55" w14:textId="77777777" w:rsidR="00481BC9" w:rsidRDefault="00186AF9">
            <w:pPr>
              <w:rPr>
                <w:sz w:val="22"/>
              </w:rPr>
            </w:pPr>
            <w:r>
              <w:rPr>
                <w:sz w:val="22"/>
              </w:rPr>
              <w:t>(10)</w:t>
            </w:r>
          </w:p>
        </w:tc>
        <w:tc>
          <w:tcPr>
            <w:tcW w:w="0" w:type="auto"/>
            <w:tcMar>
              <w:right w:w="80" w:type="dxa"/>
            </w:tcMar>
          </w:tcPr>
          <w:p w14:paraId="1C328337" w14:textId="77777777" w:rsidR="00481BC9" w:rsidRDefault="00186AF9">
            <w:pPr>
              <w:rPr>
                <w:sz w:val="22"/>
              </w:rPr>
            </w:pPr>
            <w:r>
              <w:rPr>
                <w:sz w:val="22"/>
              </w:rPr>
              <w:t xml:space="preserve">Siden oppgjøret fra NF ikke kom, iverksatte </w:t>
            </w:r>
            <w:proofErr w:type="spellStart"/>
            <w:r>
              <w:rPr>
                <w:sz w:val="22"/>
              </w:rPr>
              <w:t>ReeM</w:t>
            </w:r>
            <w:proofErr w:type="spellEnd"/>
            <w:r>
              <w:rPr>
                <w:sz w:val="22"/>
              </w:rPr>
              <w:t xml:space="preserve"> dekningssalg av </w:t>
            </w:r>
            <w:proofErr w:type="spellStart"/>
            <w:r>
              <w:rPr>
                <w:sz w:val="22"/>
              </w:rPr>
              <w:t>NFs</w:t>
            </w:r>
            <w:proofErr w:type="spellEnd"/>
            <w:r>
              <w:rPr>
                <w:sz w:val="22"/>
              </w:rPr>
              <w:t xml:space="preserve"> og Normans eksisterende aksjer. Dette resulterte i at samtlige aksjer disse eide – totalt 15 333 – ble solgt til en kurs på 60 kroner, samlet 919 980 kroner. Med tillegg av et beløp på 325 000 kroner, som NF hadde innbetalt i august 2014, hadde </w:t>
            </w:r>
            <w:proofErr w:type="spellStart"/>
            <w:r>
              <w:rPr>
                <w:sz w:val="22"/>
              </w:rPr>
              <w:t>ReeM</w:t>
            </w:r>
            <w:proofErr w:type="spellEnd"/>
            <w:r>
              <w:rPr>
                <w:sz w:val="22"/>
              </w:rPr>
              <w:t xml:space="preserve"> da samlet mottatt 1 244 980 kroner.</w:t>
            </w:r>
          </w:p>
        </w:tc>
      </w:tr>
    </w:tbl>
    <w:p w14:paraId="386CC759" w14:textId="77777777" w:rsidR="00481BC9" w:rsidRDefault="00481BC9">
      <w:pPr>
        <w:rPr>
          <w:sz w:val="6"/>
        </w:rPr>
      </w:pPr>
    </w:p>
    <w:p w14:paraId="4028861C"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586"/>
      </w:tblGrid>
      <w:tr w:rsidR="00481BC9" w14:paraId="7A17EAD3" w14:textId="77777777">
        <w:tc>
          <w:tcPr>
            <w:tcW w:w="720" w:type="dxa"/>
            <w:noWrap/>
            <w:tcMar>
              <w:right w:w="80" w:type="dxa"/>
            </w:tcMar>
          </w:tcPr>
          <w:p w14:paraId="6DADC5C6" w14:textId="77777777" w:rsidR="00481BC9" w:rsidRDefault="00186AF9">
            <w:pPr>
              <w:rPr>
                <w:sz w:val="22"/>
              </w:rPr>
            </w:pPr>
            <w:r>
              <w:rPr>
                <w:sz w:val="22"/>
              </w:rPr>
              <w:t>(11)</w:t>
            </w:r>
          </w:p>
        </w:tc>
        <w:tc>
          <w:tcPr>
            <w:tcW w:w="0" w:type="auto"/>
            <w:tcMar>
              <w:right w:w="80" w:type="dxa"/>
            </w:tcMar>
          </w:tcPr>
          <w:p w14:paraId="3E892275" w14:textId="77777777" w:rsidR="00481BC9" w:rsidRDefault="00186AF9">
            <w:pPr>
              <w:rPr>
                <w:sz w:val="6"/>
              </w:rPr>
            </w:pPr>
            <w:proofErr w:type="spellStart"/>
            <w:r>
              <w:rPr>
                <w:sz w:val="22"/>
              </w:rPr>
              <w:t>ReeM</w:t>
            </w:r>
            <w:proofErr w:type="spellEnd"/>
            <w:r>
              <w:rPr>
                <w:sz w:val="22"/>
              </w:rPr>
              <w:t xml:space="preserve"> tok 19. august 2015 ut stevning mot NF for Oslo tingrett med krav om at NF oppfylte sin tegningsforpliktelse og innbetalte 12 000 000 kroner med tillegg av forsinkelsesrenter. Oslo tingrett avsa 19. </w:t>
            </w:r>
            <w:r>
              <w:rPr>
                <w:sz w:val="22"/>
              </w:rPr>
              <w:t>februar 2016 dom med slik domsslutning:</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440"/>
              <w:gridCol w:w="8066"/>
            </w:tblGrid>
            <w:tr w:rsidR="00481BC9" w14:paraId="19CADEF9" w14:textId="77777777">
              <w:tc>
                <w:tcPr>
                  <w:tcW w:w="1440" w:type="dxa"/>
                  <w:noWrap/>
                  <w:tcMar>
                    <w:right w:w="80" w:type="dxa"/>
                  </w:tcMar>
                </w:tcPr>
                <w:p w14:paraId="2DFBC124" w14:textId="77777777" w:rsidR="00481BC9" w:rsidRDefault="00186AF9">
                  <w:pPr>
                    <w:jc w:val="right"/>
                    <w:rPr>
                      <w:sz w:val="22"/>
                    </w:rPr>
                  </w:pPr>
                  <w:r>
                    <w:rPr>
                      <w:sz w:val="22"/>
                    </w:rPr>
                    <w:t>«1.</w:t>
                  </w:r>
                </w:p>
              </w:tc>
              <w:tc>
                <w:tcPr>
                  <w:tcW w:w="8066" w:type="dxa"/>
                  <w:noWrap/>
                  <w:tcMar>
                    <w:right w:w="80" w:type="dxa"/>
                  </w:tcMar>
                </w:tcPr>
                <w:p w14:paraId="2E2D455D" w14:textId="77777777" w:rsidR="00481BC9" w:rsidRDefault="00186AF9">
                  <w:pPr>
                    <w:rPr>
                      <w:sz w:val="22"/>
                    </w:rPr>
                  </w:pPr>
                  <w:r>
                    <w:rPr>
                      <w:sz w:val="22"/>
                    </w:rPr>
                    <w:t>Norman Finans AS frifinnes.</w:t>
                  </w:r>
                </w:p>
              </w:tc>
            </w:tr>
          </w:tbl>
          <w:p w14:paraId="16D8B64C" w14:textId="77777777" w:rsidR="00481BC9" w:rsidRDefault="00481BC9">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440"/>
              <w:gridCol w:w="8066"/>
            </w:tblGrid>
            <w:tr w:rsidR="00481BC9" w14:paraId="7157F6B9" w14:textId="77777777">
              <w:tc>
                <w:tcPr>
                  <w:tcW w:w="1440" w:type="dxa"/>
                  <w:noWrap/>
                  <w:tcMar>
                    <w:right w:w="80" w:type="dxa"/>
                  </w:tcMar>
                </w:tcPr>
                <w:p w14:paraId="12D65229" w14:textId="77777777" w:rsidR="00481BC9" w:rsidRDefault="00186AF9">
                  <w:pPr>
                    <w:jc w:val="right"/>
                    <w:rPr>
                      <w:sz w:val="22"/>
                    </w:rPr>
                  </w:pPr>
                  <w:r>
                    <w:rPr>
                      <w:sz w:val="22"/>
                    </w:rPr>
                    <w:t>2.</w:t>
                  </w:r>
                </w:p>
              </w:tc>
              <w:tc>
                <w:tcPr>
                  <w:tcW w:w="8066" w:type="dxa"/>
                  <w:noWrap/>
                  <w:tcMar>
                    <w:right w:w="80" w:type="dxa"/>
                  </w:tcMar>
                </w:tcPr>
                <w:p w14:paraId="431AAC7C" w14:textId="77777777" w:rsidR="00481BC9" w:rsidRDefault="00186AF9">
                  <w:pPr>
                    <w:rPr>
                      <w:sz w:val="22"/>
                    </w:rPr>
                  </w:pPr>
                  <w:r>
                    <w:rPr>
                      <w:sz w:val="22"/>
                    </w:rPr>
                    <w:t xml:space="preserve">I sakskostnader for tingretten betaler REE Minerals AS 390 931 – </w:t>
                  </w:r>
                  <w:proofErr w:type="spellStart"/>
                  <w:r>
                    <w:rPr>
                      <w:sz w:val="22"/>
                    </w:rPr>
                    <w:t>trehundreognittitusennihundreogtrettien</w:t>
                  </w:r>
                  <w:proofErr w:type="spellEnd"/>
                  <w:r>
                    <w:rPr>
                      <w:sz w:val="22"/>
                    </w:rPr>
                    <w:t xml:space="preserve"> – kroner til Norman Finans AS innen 2 – to – uker fra dommen er forkynt.»</w:t>
                  </w:r>
                </w:p>
              </w:tc>
            </w:tr>
          </w:tbl>
          <w:p w14:paraId="56A103B4" w14:textId="77777777" w:rsidR="00481BC9" w:rsidRDefault="00481BC9">
            <w:pPr>
              <w:rPr>
                <w:sz w:val="22"/>
              </w:rPr>
            </w:pPr>
          </w:p>
        </w:tc>
      </w:tr>
    </w:tbl>
    <w:p w14:paraId="0298AA13" w14:textId="77777777" w:rsidR="00481BC9" w:rsidRDefault="00481BC9">
      <w:pPr>
        <w:rPr>
          <w:sz w:val="6"/>
        </w:rPr>
      </w:pPr>
    </w:p>
    <w:p w14:paraId="35C15379"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71DA5194" w14:textId="77777777">
        <w:tc>
          <w:tcPr>
            <w:tcW w:w="720" w:type="dxa"/>
            <w:noWrap/>
            <w:tcMar>
              <w:right w:w="80" w:type="dxa"/>
            </w:tcMar>
          </w:tcPr>
          <w:p w14:paraId="54AC281E" w14:textId="77777777" w:rsidR="00481BC9" w:rsidRDefault="00186AF9">
            <w:pPr>
              <w:rPr>
                <w:sz w:val="22"/>
              </w:rPr>
            </w:pPr>
            <w:r>
              <w:rPr>
                <w:sz w:val="22"/>
              </w:rPr>
              <w:t>(12)</w:t>
            </w:r>
          </w:p>
        </w:tc>
        <w:tc>
          <w:tcPr>
            <w:tcW w:w="0" w:type="auto"/>
            <w:tcMar>
              <w:right w:w="80" w:type="dxa"/>
            </w:tcMar>
          </w:tcPr>
          <w:p w14:paraId="6B8BEB9A" w14:textId="77777777" w:rsidR="00481BC9" w:rsidRDefault="00186AF9">
            <w:pPr>
              <w:rPr>
                <w:sz w:val="22"/>
              </w:rPr>
            </w:pPr>
            <w:r>
              <w:rPr>
                <w:sz w:val="22"/>
              </w:rPr>
              <w:t xml:space="preserve">Tingretten kom til at det ikke var rettslig grunnlag for fortsatt betalingsplikt etter utløpet av tremånedersfristen, jf. </w:t>
            </w:r>
            <w:hyperlink r:id="rId14" w:anchor="reference/lov/1997-06-13-44/§10-9" w:history="1">
              <w:r>
                <w:rPr>
                  <w:sz w:val="22"/>
                </w:rPr>
                <w:t>aksjeloven § 10-9</w:t>
              </w:r>
            </w:hyperlink>
            <w:r>
              <w:rPr>
                <w:sz w:val="22"/>
              </w:rPr>
              <w:t xml:space="preserve"> tredje ledd. </w:t>
            </w:r>
            <w:proofErr w:type="spellStart"/>
            <w:r>
              <w:rPr>
                <w:sz w:val="22"/>
              </w:rPr>
              <w:t>ReeMs</w:t>
            </w:r>
            <w:proofErr w:type="spellEnd"/>
            <w:r>
              <w:rPr>
                <w:sz w:val="22"/>
              </w:rPr>
              <w:t xml:space="preserve"> krav om erstatning for den positive kontraktsinteressen, oppad begrenset til 12 millioner kroner, førte heller ikke frem. Tingretten utelukket ikke at betalings- eller erstatningskrav mot NF kunne bestå etter utløpet av fristen, men mente at dette krevde et særskilt avtalegrunnlag mellom partene eller erstatningsbetingende uaktsomhet fra </w:t>
            </w:r>
            <w:proofErr w:type="spellStart"/>
            <w:r>
              <w:rPr>
                <w:sz w:val="22"/>
              </w:rPr>
              <w:t>NFs</w:t>
            </w:r>
            <w:proofErr w:type="spellEnd"/>
            <w:r>
              <w:rPr>
                <w:sz w:val="22"/>
              </w:rPr>
              <w:t xml:space="preserve"> side. Ingen av disse grunnlagene var anført for tingretten.</w:t>
            </w:r>
          </w:p>
        </w:tc>
      </w:tr>
    </w:tbl>
    <w:p w14:paraId="5F78847D" w14:textId="77777777" w:rsidR="00481BC9" w:rsidRDefault="00481BC9">
      <w:pPr>
        <w:rPr>
          <w:sz w:val="6"/>
        </w:rPr>
      </w:pPr>
    </w:p>
    <w:p w14:paraId="2D7F94A4"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71F488AB" w14:textId="77777777">
        <w:tc>
          <w:tcPr>
            <w:tcW w:w="720" w:type="dxa"/>
            <w:noWrap/>
            <w:tcMar>
              <w:right w:w="80" w:type="dxa"/>
            </w:tcMar>
          </w:tcPr>
          <w:p w14:paraId="12761A44" w14:textId="77777777" w:rsidR="00481BC9" w:rsidRDefault="00186AF9">
            <w:pPr>
              <w:rPr>
                <w:sz w:val="22"/>
              </w:rPr>
            </w:pPr>
            <w:r>
              <w:rPr>
                <w:sz w:val="22"/>
              </w:rPr>
              <w:t>(13)</w:t>
            </w:r>
          </w:p>
        </w:tc>
        <w:tc>
          <w:tcPr>
            <w:tcW w:w="0" w:type="auto"/>
            <w:tcMar>
              <w:right w:w="80" w:type="dxa"/>
            </w:tcMar>
          </w:tcPr>
          <w:p w14:paraId="57DA6F81" w14:textId="77777777" w:rsidR="00481BC9" w:rsidRDefault="00186AF9">
            <w:pPr>
              <w:rPr>
                <w:sz w:val="22"/>
              </w:rPr>
            </w:pPr>
            <w:proofErr w:type="spellStart"/>
            <w:r>
              <w:rPr>
                <w:sz w:val="22"/>
              </w:rPr>
              <w:t>ReeM</w:t>
            </w:r>
            <w:proofErr w:type="spellEnd"/>
            <w:r>
              <w:rPr>
                <w:sz w:val="22"/>
              </w:rPr>
              <w:t xml:space="preserve"> anket tingrettens dom til Borgarting lagmannsrett, som forkastet anken ved dom 12. juni 2017 [</w:t>
            </w:r>
            <w:hyperlink r:id="rId15" w:anchor="reference/avgjorelse/lb-2016-77884" w:history="1">
              <w:r>
                <w:rPr>
                  <w:sz w:val="22"/>
                </w:rPr>
                <w:t>LB-2016-77884</w:t>
              </w:r>
            </w:hyperlink>
            <w:r>
              <w:rPr>
                <w:sz w:val="22"/>
              </w:rPr>
              <w:t>]. Lagmannsretten sluttet seg i det alt vesentlige til tingrettens begrunnelse.</w:t>
            </w:r>
          </w:p>
        </w:tc>
      </w:tr>
    </w:tbl>
    <w:p w14:paraId="4D2BFC09" w14:textId="77777777" w:rsidR="00481BC9" w:rsidRDefault="00481BC9">
      <w:pPr>
        <w:rPr>
          <w:sz w:val="6"/>
        </w:rPr>
      </w:pPr>
    </w:p>
    <w:p w14:paraId="2B70BF1C"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18C2D726" w14:textId="77777777">
        <w:tc>
          <w:tcPr>
            <w:tcW w:w="720" w:type="dxa"/>
            <w:noWrap/>
            <w:tcMar>
              <w:right w:w="80" w:type="dxa"/>
            </w:tcMar>
          </w:tcPr>
          <w:p w14:paraId="1F6066D9" w14:textId="77777777" w:rsidR="00481BC9" w:rsidRDefault="00186AF9">
            <w:pPr>
              <w:rPr>
                <w:sz w:val="22"/>
              </w:rPr>
            </w:pPr>
            <w:r>
              <w:rPr>
                <w:sz w:val="22"/>
              </w:rPr>
              <w:t>(14)</w:t>
            </w:r>
          </w:p>
        </w:tc>
        <w:tc>
          <w:tcPr>
            <w:tcW w:w="0" w:type="auto"/>
            <w:tcMar>
              <w:right w:w="80" w:type="dxa"/>
            </w:tcMar>
          </w:tcPr>
          <w:p w14:paraId="505645DC" w14:textId="77777777" w:rsidR="00481BC9" w:rsidRDefault="00186AF9">
            <w:pPr>
              <w:rPr>
                <w:sz w:val="22"/>
              </w:rPr>
            </w:pPr>
            <w:proofErr w:type="spellStart"/>
            <w:r>
              <w:rPr>
                <w:sz w:val="22"/>
              </w:rPr>
              <w:t>ReeM</w:t>
            </w:r>
            <w:proofErr w:type="spellEnd"/>
            <w:r>
              <w:rPr>
                <w:sz w:val="22"/>
              </w:rPr>
              <w:t xml:space="preserve"> har anket til Høyesterett. Anken gjelder rettsanvendelsen. Høyesteretts ankeutvalg besluttet 5. oktober 2017 at anken skulle tillates fremmet. Forhandlingene for Høyesterett ble begrenset i medhold av </w:t>
            </w:r>
            <w:hyperlink r:id="rId16" w:anchor="reference/lov/2005-06-17-90/§30-14" w:history="1">
              <w:r>
                <w:rPr>
                  <w:sz w:val="22"/>
                </w:rPr>
                <w:t>tvisteloven § 30-14</w:t>
              </w:r>
            </w:hyperlink>
            <w:r>
              <w:rPr>
                <w:sz w:val="22"/>
              </w:rPr>
              <w:t xml:space="preserve"> tredje ledd, slik at ankemotpartens subsidiære anførsel om at aksjetegningen må settes til side som ugyldig på grunn av misvisende og villedende informasjon forut for tegningen, foreløpig ikke skal behandles. Det samme gjelder utmåling av eventuell erstatning for positiv kontraktsinteresse.</w:t>
            </w:r>
          </w:p>
        </w:tc>
      </w:tr>
    </w:tbl>
    <w:p w14:paraId="05C49890" w14:textId="77777777" w:rsidR="00481BC9" w:rsidRDefault="00481BC9">
      <w:pPr>
        <w:rPr>
          <w:sz w:val="6"/>
        </w:rPr>
      </w:pPr>
    </w:p>
    <w:p w14:paraId="621D71ED"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35EE9509" w14:textId="77777777">
        <w:tc>
          <w:tcPr>
            <w:tcW w:w="720" w:type="dxa"/>
            <w:noWrap/>
            <w:tcMar>
              <w:right w:w="80" w:type="dxa"/>
            </w:tcMar>
          </w:tcPr>
          <w:p w14:paraId="1EA871FB" w14:textId="77777777" w:rsidR="00481BC9" w:rsidRDefault="00186AF9">
            <w:pPr>
              <w:rPr>
                <w:sz w:val="22"/>
              </w:rPr>
            </w:pPr>
            <w:r>
              <w:rPr>
                <w:sz w:val="22"/>
              </w:rPr>
              <w:t>(15)</w:t>
            </w:r>
          </w:p>
        </w:tc>
        <w:tc>
          <w:tcPr>
            <w:tcW w:w="0" w:type="auto"/>
            <w:tcMar>
              <w:right w:w="80" w:type="dxa"/>
            </w:tcMar>
          </w:tcPr>
          <w:p w14:paraId="3F297EB4" w14:textId="77777777" w:rsidR="00481BC9" w:rsidRDefault="00186AF9">
            <w:pPr>
              <w:rPr>
                <w:sz w:val="22"/>
              </w:rPr>
            </w:pPr>
            <w:r>
              <w:rPr>
                <w:sz w:val="22"/>
              </w:rPr>
              <w:t xml:space="preserve">Den ankende part – </w:t>
            </w:r>
            <w:r>
              <w:rPr>
                <w:b/>
                <w:sz w:val="22"/>
              </w:rPr>
              <w:t xml:space="preserve">Ree Minerals </w:t>
            </w:r>
            <w:proofErr w:type="spellStart"/>
            <w:r>
              <w:rPr>
                <w:b/>
                <w:sz w:val="22"/>
              </w:rPr>
              <w:t>Holding</w:t>
            </w:r>
            <w:proofErr w:type="spellEnd"/>
            <w:r>
              <w:rPr>
                <w:b/>
                <w:sz w:val="22"/>
              </w:rPr>
              <w:t xml:space="preserve"> AS</w:t>
            </w:r>
            <w:r>
              <w:rPr>
                <w:sz w:val="22"/>
              </w:rPr>
              <w:t xml:space="preserve"> – har i hovedsak anført:</w:t>
            </w:r>
          </w:p>
        </w:tc>
      </w:tr>
    </w:tbl>
    <w:p w14:paraId="1CD8455A" w14:textId="77777777" w:rsidR="00481BC9" w:rsidRDefault="00481BC9">
      <w:pPr>
        <w:rPr>
          <w:sz w:val="6"/>
        </w:rPr>
      </w:pPr>
    </w:p>
    <w:p w14:paraId="2FE94152"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4E8281DD" w14:textId="77777777">
        <w:tc>
          <w:tcPr>
            <w:tcW w:w="720" w:type="dxa"/>
            <w:noWrap/>
            <w:tcMar>
              <w:right w:w="80" w:type="dxa"/>
            </w:tcMar>
          </w:tcPr>
          <w:p w14:paraId="227BC666" w14:textId="77777777" w:rsidR="00481BC9" w:rsidRDefault="00186AF9">
            <w:pPr>
              <w:rPr>
                <w:sz w:val="22"/>
              </w:rPr>
            </w:pPr>
            <w:r>
              <w:rPr>
                <w:sz w:val="22"/>
              </w:rPr>
              <w:t>(16)</w:t>
            </w:r>
          </w:p>
        </w:tc>
        <w:tc>
          <w:tcPr>
            <w:tcW w:w="0" w:type="auto"/>
            <w:tcMar>
              <w:right w:w="80" w:type="dxa"/>
            </w:tcMar>
          </w:tcPr>
          <w:p w14:paraId="01770835" w14:textId="77777777" w:rsidR="00481BC9" w:rsidRDefault="00186AF9">
            <w:pPr>
              <w:rPr>
                <w:sz w:val="22"/>
              </w:rPr>
            </w:pPr>
            <w:r>
              <w:rPr>
                <w:sz w:val="22"/>
              </w:rPr>
              <w:t xml:space="preserve">Forut for aksjetegningen ble det inngått en </w:t>
            </w:r>
            <w:r>
              <w:rPr>
                <w:sz w:val="22"/>
              </w:rPr>
              <w:t>bindende avtale der NF forpliktet seg til å tegne 75 000 aksjer og til å innbetale et samlet aksjeinnskudd på 12 millioner kroner.</w:t>
            </w:r>
          </w:p>
        </w:tc>
      </w:tr>
    </w:tbl>
    <w:p w14:paraId="7FBCE65B" w14:textId="77777777" w:rsidR="00481BC9" w:rsidRDefault="00481BC9">
      <w:pPr>
        <w:rPr>
          <w:sz w:val="6"/>
        </w:rPr>
      </w:pPr>
    </w:p>
    <w:p w14:paraId="0CDE2C05"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72A2059A" w14:textId="77777777">
        <w:tc>
          <w:tcPr>
            <w:tcW w:w="720" w:type="dxa"/>
            <w:noWrap/>
            <w:tcMar>
              <w:right w:w="80" w:type="dxa"/>
            </w:tcMar>
          </w:tcPr>
          <w:p w14:paraId="424B7224" w14:textId="77777777" w:rsidR="00481BC9" w:rsidRDefault="00186AF9">
            <w:pPr>
              <w:rPr>
                <w:sz w:val="22"/>
              </w:rPr>
            </w:pPr>
            <w:r>
              <w:rPr>
                <w:sz w:val="22"/>
              </w:rPr>
              <w:t>(17)</w:t>
            </w:r>
          </w:p>
        </w:tc>
        <w:tc>
          <w:tcPr>
            <w:tcW w:w="0" w:type="auto"/>
            <w:tcMar>
              <w:right w:w="80" w:type="dxa"/>
            </w:tcMar>
          </w:tcPr>
          <w:p w14:paraId="63669D00" w14:textId="77777777" w:rsidR="00481BC9" w:rsidRDefault="00186AF9">
            <w:pPr>
              <w:rPr>
                <w:sz w:val="22"/>
              </w:rPr>
            </w:pPr>
            <w:r>
              <w:rPr>
                <w:sz w:val="22"/>
              </w:rPr>
              <w:t xml:space="preserve">Avtalen reguleres av alminnelige avtale- og kontraktsrettslige regler. </w:t>
            </w:r>
            <w:hyperlink r:id="rId17" w:anchor="reference/lov/1997-06-13-44/§10-9" w:history="1">
              <w:r>
                <w:rPr>
                  <w:sz w:val="22"/>
                </w:rPr>
                <w:t>Aksjeloven § 10-9</w:t>
              </w:r>
            </w:hyperlink>
            <w:r>
              <w:rPr>
                <w:sz w:val="22"/>
              </w:rPr>
              <w:t xml:space="preserve"> tredje ledd løser ikke spørsmålet.</w:t>
            </w:r>
          </w:p>
        </w:tc>
      </w:tr>
    </w:tbl>
    <w:p w14:paraId="4CBDE7C5" w14:textId="77777777" w:rsidR="00481BC9" w:rsidRDefault="00481BC9">
      <w:pPr>
        <w:rPr>
          <w:sz w:val="6"/>
        </w:rPr>
      </w:pPr>
    </w:p>
    <w:p w14:paraId="2C71501A"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64E4BF0A" w14:textId="77777777">
        <w:tc>
          <w:tcPr>
            <w:tcW w:w="720" w:type="dxa"/>
            <w:noWrap/>
            <w:tcMar>
              <w:right w:w="80" w:type="dxa"/>
            </w:tcMar>
          </w:tcPr>
          <w:p w14:paraId="121ABFA1" w14:textId="77777777" w:rsidR="00481BC9" w:rsidRDefault="00186AF9">
            <w:pPr>
              <w:rPr>
                <w:sz w:val="22"/>
              </w:rPr>
            </w:pPr>
            <w:r>
              <w:rPr>
                <w:sz w:val="22"/>
              </w:rPr>
              <w:t>(18)</w:t>
            </w:r>
          </w:p>
        </w:tc>
        <w:tc>
          <w:tcPr>
            <w:tcW w:w="0" w:type="auto"/>
            <w:tcMar>
              <w:right w:w="80" w:type="dxa"/>
            </w:tcMar>
          </w:tcPr>
          <w:p w14:paraId="27363039" w14:textId="77777777" w:rsidR="00481BC9" w:rsidRDefault="00186AF9">
            <w:pPr>
              <w:rPr>
                <w:sz w:val="22"/>
              </w:rPr>
            </w:pPr>
            <w:r>
              <w:rPr>
                <w:sz w:val="22"/>
              </w:rPr>
              <w:t xml:space="preserve">Avtalen må oppfylles in natura ved at NF skal betale 12 millioner kroner mot å motta 75 000 aksjer i </w:t>
            </w:r>
            <w:proofErr w:type="spellStart"/>
            <w:r>
              <w:rPr>
                <w:sz w:val="22"/>
              </w:rPr>
              <w:t>ReeM</w:t>
            </w:r>
            <w:proofErr w:type="spellEnd"/>
            <w:r>
              <w:rPr>
                <w:sz w:val="22"/>
              </w:rPr>
              <w:t>.</w:t>
            </w:r>
          </w:p>
        </w:tc>
      </w:tr>
    </w:tbl>
    <w:p w14:paraId="3681D5A6" w14:textId="77777777" w:rsidR="00481BC9" w:rsidRDefault="00481BC9">
      <w:pPr>
        <w:rPr>
          <w:sz w:val="6"/>
        </w:rPr>
      </w:pPr>
    </w:p>
    <w:p w14:paraId="2DEE142D"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29CE8878" w14:textId="77777777">
        <w:tc>
          <w:tcPr>
            <w:tcW w:w="720" w:type="dxa"/>
            <w:noWrap/>
            <w:tcMar>
              <w:right w:w="80" w:type="dxa"/>
            </w:tcMar>
          </w:tcPr>
          <w:p w14:paraId="2188D825" w14:textId="77777777" w:rsidR="00481BC9" w:rsidRDefault="00186AF9">
            <w:pPr>
              <w:rPr>
                <w:sz w:val="22"/>
              </w:rPr>
            </w:pPr>
            <w:r>
              <w:rPr>
                <w:sz w:val="22"/>
              </w:rPr>
              <w:t>(19)</w:t>
            </w:r>
          </w:p>
        </w:tc>
        <w:tc>
          <w:tcPr>
            <w:tcW w:w="0" w:type="auto"/>
            <w:tcMar>
              <w:right w:w="80" w:type="dxa"/>
            </w:tcMar>
          </w:tcPr>
          <w:p w14:paraId="19D8B618" w14:textId="77777777" w:rsidR="00481BC9" w:rsidRDefault="00186AF9">
            <w:pPr>
              <w:rPr>
                <w:sz w:val="22"/>
              </w:rPr>
            </w:pPr>
            <w:r>
              <w:rPr>
                <w:sz w:val="22"/>
              </w:rPr>
              <w:t xml:space="preserve">Under forutsetning av at det ikke kan kreves naturaloppfyllelse, krever </w:t>
            </w:r>
            <w:proofErr w:type="spellStart"/>
            <w:r>
              <w:rPr>
                <w:sz w:val="22"/>
              </w:rPr>
              <w:t>ReeM</w:t>
            </w:r>
            <w:proofErr w:type="spellEnd"/>
            <w:r>
              <w:rPr>
                <w:sz w:val="22"/>
              </w:rPr>
              <w:t xml:space="preserve"> erstatning for den positive kontraktsinteresse.</w:t>
            </w:r>
          </w:p>
        </w:tc>
      </w:tr>
    </w:tbl>
    <w:p w14:paraId="73561D96" w14:textId="77777777" w:rsidR="00481BC9" w:rsidRDefault="00481BC9">
      <w:pPr>
        <w:rPr>
          <w:sz w:val="6"/>
        </w:rPr>
      </w:pPr>
    </w:p>
    <w:p w14:paraId="49B9F3F6"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586"/>
      </w:tblGrid>
      <w:tr w:rsidR="00481BC9" w14:paraId="4C9E9675" w14:textId="77777777">
        <w:tc>
          <w:tcPr>
            <w:tcW w:w="720" w:type="dxa"/>
            <w:noWrap/>
            <w:tcMar>
              <w:right w:w="80" w:type="dxa"/>
            </w:tcMar>
          </w:tcPr>
          <w:p w14:paraId="7DD0F091" w14:textId="77777777" w:rsidR="00481BC9" w:rsidRDefault="00186AF9">
            <w:pPr>
              <w:rPr>
                <w:sz w:val="22"/>
              </w:rPr>
            </w:pPr>
            <w:r>
              <w:rPr>
                <w:sz w:val="22"/>
              </w:rPr>
              <w:t>(20)</w:t>
            </w:r>
          </w:p>
        </w:tc>
        <w:tc>
          <w:tcPr>
            <w:tcW w:w="0" w:type="auto"/>
            <w:tcMar>
              <w:right w:w="80" w:type="dxa"/>
            </w:tcMar>
          </w:tcPr>
          <w:p w14:paraId="53A9E076" w14:textId="77777777" w:rsidR="00481BC9" w:rsidRDefault="00186AF9">
            <w:pPr>
              <w:rPr>
                <w:sz w:val="6"/>
              </w:rPr>
            </w:pPr>
            <w:r>
              <w:rPr>
                <w:sz w:val="22"/>
              </w:rPr>
              <w:t xml:space="preserve">Ree Minerals </w:t>
            </w:r>
            <w:proofErr w:type="spellStart"/>
            <w:r>
              <w:rPr>
                <w:sz w:val="22"/>
              </w:rPr>
              <w:t>Holding</w:t>
            </w:r>
            <w:proofErr w:type="spellEnd"/>
            <w:r>
              <w:rPr>
                <w:sz w:val="22"/>
              </w:rPr>
              <w:t xml:space="preserve"> AS har nedlagt slik påstand:</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440"/>
              <w:gridCol w:w="8066"/>
            </w:tblGrid>
            <w:tr w:rsidR="00481BC9" w14:paraId="11020DD0" w14:textId="77777777">
              <w:tc>
                <w:tcPr>
                  <w:tcW w:w="1440" w:type="dxa"/>
                  <w:noWrap/>
                  <w:tcMar>
                    <w:right w:w="80" w:type="dxa"/>
                  </w:tcMar>
                </w:tcPr>
                <w:p w14:paraId="3714FD63" w14:textId="77777777" w:rsidR="00481BC9" w:rsidRDefault="00186AF9">
                  <w:pPr>
                    <w:jc w:val="right"/>
                    <w:rPr>
                      <w:sz w:val="22"/>
                    </w:rPr>
                  </w:pPr>
                  <w:r>
                    <w:rPr>
                      <w:sz w:val="22"/>
                    </w:rPr>
                    <w:lastRenderedPageBreak/>
                    <w:t>«1.</w:t>
                  </w:r>
                </w:p>
              </w:tc>
              <w:tc>
                <w:tcPr>
                  <w:tcW w:w="8066" w:type="dxa"/>
                  <w:noWrap/>
                  <w:tcMar>
                    <w:right w:w="80" w:type="dxa"/>
                  </w:tcMar>
                </w:tcPr>
                <w:p w14:paraId="3B4995BB" w14:textId="77777777" w:rsidR="00481BC9" w:rsidRDefault="00186AF9">
                  <w:pPr>
                    <w:rPr>
                      <w:sz w:val="22"/>
                    </w:rPr>
                  </w:pPr>
                  <w:r>
                    <w:rPr>
                      <w:sz w:val="22"/>
                    </w:rPr>
                    <w:t>Lagmannsrettens dom oppheves.</w:t>
                  </w:r>
                </w:p>
              </w:tc>
            </w:tr>
          </w:tbl>
          <w:p w14:paraId="16D8A71A" w14:textId="77777777" w:rsidR="00481BC9" w:rsidRDefault="00481BC9">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440"/>
              <w:gridCol w:w="8066"/>
            </w:tblGrid>
            <w:tr w:rsidR="00481BC9" w14:paraId="5E58FC8D" w14:textId="77777777">
              <w:tc>
                <w:tcPr>
                  <w:tcW w:w="1440" w:type="dxa"/>
                  <w:noWrap/>
                  <w:tcMar>
                    <w:right w:w="80" w:type="dxa"/>
                  </w:tcMar>
                </w:tcPr>
                <w:p w14:paraId="108F4F50" w14:textId="77777777" w:rsidR="00481BC9" w:rsidRDefault="00186AF9">
                  <w:pPr>
                    <w:jc w:val="right"/>
                    <w:rPr>
                      <w:sz w:val="22"/>
                    </w:rPr>
                  </w:pPr>
                  <w:r>
                    <w:rPr>
                      <w:sz w:val="22"/>
                    </w:rPr>
                    <w:t>2.</w:t>
                  </w:r>
                </w:p>
              </w:tc>
              <w:tc>
                <w:tcPr>
                  <w:tcW w:w="8066" w:type="dxa"/>
                  <w:noWrap/>
                  <w:tcMar>
                    <w:right w:w="80" w:type="dxa"/>
                  </w:tcMar>
                </w:tcPr>
                <w:p w14:paraId="64E272BF" w14:textId="77777777" w:rsidR="00481BC9" w:rsidRDefault="00186AF9">
                  <w:pPr>
                    <w:rPr>
                      <w:sz w:val="22"/>
                    </w:rPr>
                  </w:pPr>
                  <w:r>
                    <w:rPr>
                      <w:sz w:val="22"/>
                    </w:rPr>
                    <w:t xml:space="preserve">REE Minerals </w:t>
                  </w:r>
                  <w:proofErr w:type="spellStart"/>
                  <w:r>
                    <w:rPr>
                      <w:sz w:val="22"/>
                    </w:rPr>
                    <w:t>Holding</w:t>
                  </w:r>
                  <w:proofErr w:type="spellEnd"/>
                  <w:r>
                    <w:rPr>
                      <w:sz w:val="22"/>
                    </w:rPr>
                    <w:t xml:space="preserve"> AS tilkjennes </w:t>
                  </w:r>
                  <w:r>
                    <w:rPr>
                      <w:sz w:val="22"/>
                    </w:rPr>
                    <w:t>sakskostnader for Høyesterett.»</w:t>
                  </w:r>
                </w:p>
              </w:tc>
            </w:tr>
          </w:tbl>
          <w:p w14:paraId="16DD8E08" w14:textId="77777777" w:rsidR="00481BC9" w:rsidRDefault="00481BC9">
            <w:pPr>
              <w:rPr>
                <w:sz w:val="22"/>
              </w:rPr>
            </w:pPr>
          </w:p>
        </w:tc>
      </w:tr>
    </w:tbl>
    <w:p w14:paraId="7AFEE044" w14:textId="77777777" w:rsidR="00481BC9" w:rsidRDefault="00481BC9">
      <w:pPr>
        <w:rPr>
          <w:sz w:val="6"/>
        </w:rPr>
      </w:pPr>
    </w:p>
    <w:p w14:paraId="1EEE81C6"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7552710F" w14:textId="77777777">
        <w:tc>
          <w:tcPr>
            <w:tcW w:w="720" w:type="dxa"/>
            <w:noWrap/>
            <w:tcMar>
              <w:right w:w="80" w:type="dxa"/>
            </w:tcMar>
          </w:tcPr>
          <w:p w14:paraId="3EF54027" w14:textId="77777777" w:rsidR="00481BC9" w:rsidRDefault="00186AF9">
            <w:pPr>
              <w:rPr>
                <w:sz w:val="22"/>
              </w:rPr>
            </w:pPr>
            <w:r>
              <w:rPr>
                <w:sz w:val="22"/>
              </w:rPr>
              <w:t>(21)</w:t>
            </w:r>
          </w:p>
        </w:tc>
        <w:tc>
          <w:tcPr>
            <w:tcW w:w="0" w:type="auto"/>
            <w:tcMar>
              <w:right w:w="80" w:type="dxa"/>
            </w:tcMar>
          </w:tcPr>
          <w:p w14:paraId="61AAECFC" w14:textId="77777777" w:rsidR="00481BC9" w:rsidRDefault="00186AF9">
            <w:pPr>
              <w:rPr>
                <w:sz w:val="22"/>
              </w:rPr>
            </w:pPr>
            <w:r>
              <w:rPr>
                <w:sz w:val="22"/>
              </w:rPr>
              <w:t xml:space="preserve">Ankemotparten – </w:t>
            </w:r>
            <w:r>
              <w:rPr>
                <w:b/>
                <w:sz w:val="22"/>
              </w:rPr>
              <w:t>Norman Finans AS</w:t>
            </w:r>
            <w:r>
              <w:rPr>
                <w:sz w:val="22"/>
              </w:rPr>
              <w:t xml:space="preserve"> – har i hovedsak anført:</w:t>
            </w:r>
          </w:p>
        </w:tc>
      </w:tr>
    </w:tbl>
    <w:p w14:paraId="76C853C4" w14:textId="77777777" w:rsidR="00481BC9" w:rsidRDefault="00481BC9">
      <w:pPr>
        <w:rPr>
          <w:sz w:val="6"/>
        </w:rPr>
      </w:pPr>
    </w:p>
    <w:p w14:paraId="7E428833"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2BA3EA43" w14:textId="77777777">
        <w:tc>
          <w:tcPr>
            <w:tcW w:w="720" w:type="dxa"/>
            <w:noWrap/>
            <w:tcMar>
              <w:right w:w="80" w:type="dxa"/>
            </w:tcMar>
          </w:tcPr>
          <w:p w14:paraId="5970126C" w14:textId="77777777" w:rsidR="00481BC9" w:rsidRDefault="00186AF9">
            <w:pPr>
              <w:rPr>
                <w:sz w:val="22"/>
              </w:rPr>
            </w:pPr>
            <w:r>
              <w:rPr>
                <w:sz w:val="22"/>
              </w:rPr>
              <w:t>(22)</w:t>
            </w:r>
          </w:p>
        </w:tc>
        <w:tc>
          <w:tcPr>
            <w:tcW w:w="0" w:type="auto"/>
            <w:tcMar>
              <w:right w:w="80" w:type="dxa"/>
            </w:tcMar>
          </w:tcPr>
          <w:p w14:paraId="3B7FA9DA" w14:textId="77777777" w:rsidR="00481BC9" w:rsidRDefault="00186AF9">
            <w:pPr>
              <w:rPr>
                <w:sz w:val="22"/>
              </w:rPr>
            </w:pPr>
            <w:r>
              <w:rPr>
                <w:sz w:val="22"/>
              </w:rPr>
              <w:t xml:space="preserve">Dokumentet datert 28. februar 2014 er ingen separat avtale om aksjetegning, men en fullmakt til å tegne aksjer som ikke har andre rettsvirkninger. Forpliktelsen overfor </w:t>
            </w:r>
            <w:proofErr w:type="spellStart"/>
            <w:r>
              <w:rPr>
                <w:sz w:val="22"/>
              </w:rPr>
              <w:t>ReeM</w:t>
            </w:r>
            <w:proofErr w:type="spellEnd"/>
            <w:r>
              <w:rPr>
                <w:sz w:val="22"/>
              </w:rPr>
              <w:t xml:space="preserve"> oppsto ikke før aksjer ble tegnet ved bruk av fullmakten, og forpliktelsen bortfalt da denne kapitalforhøyelsen ikke ble meldt til Foretaksregisteret innen fristen, jf. </w:t>
            </w:r>
            <w:hyperlink r:id="rId18" w:anchor="reference/lov/1997-06-13-44/§10-9" w:history="1">
              <w:r>
                <w:rPr>
                  <w:sz w:val="22"/>
                </w:rPr>
                <w:t>aksjeloven § 10-9</w:t>
              </w:r>
            </w:hyperlink>
            <w:r>
              <w:rPr>
                <w:sz w:val="22"/>
              </w:rPr>
              <w:t xml:space="preserve"> tredje ledd.</w:t>
            </w:r>
          </w:p>
        </w:tc>
      </w:tr>
    </w:tbl>
    <w:p w14:paraId="4A5ECC8E" w14:textId="77777777" w:rsidR="00481BC9" w:rsidRDefault="00481BC9">
      <w:pPr>
        <w:rPr>
          <w:sz w:val="6"/>
        </w:rPr>
      </w:pPr>
    </w:p>
    <w:p w14:paraId="31DA309D"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584B040E" w14:textId="77777777">
        <w:tc>
          <w:tcPr>
            <w:tcW w:w="720" w:type="dxa"/>
            <w:noWrap/>
            <w:tcMar>
              <w:right w:w="80" w:type="dxa"/>
            </w:tcMar>
          </w:tcPr>
          <w:p w14:paraId="1A87C663" w14:textId="77777777" w:rsidR="00481BC9" w:rsidRDefault="00186AF9">
            <w:pPr>
              <w:rPr>
                <w:sz w:val="22"/>
              </w:rPr>
            </w:pPr>
            <w:r>
              <w:rPr>
                <w:sz w:val="22"/>
              </w:rPr>
              <w:t>(23)</w:t>
            </w:r>
          </w:p>
        </w:tc>
        <w:tc>
          <w:tcPr>
            <w:tcW w:w="0" w:type="auto"/>
            <w:tcMar>
              <w:right w:w="80" w:type="dxa"/>
            </w:tcMar>
          </w:tcPr>
          <w:p w14:paraId="65D28527" w14:textId="77777777" w:rsidR="00481BC9" w:rsidRDefault="00186AF9">
            <w:pPr>
              <w:rPr>
                <w:sz w:val="22"/>
              </w:rPr>
            </w:pPr>
            <w:r>
              <w:rPr>
                <w:sz w:val="22"/>
              </w:rPr>
              <w:t xml:space="preserve">Dokumentet har samme karakter som en ordinær tegningsblankett bortsett fra at det inneholder en fullmakt. En tegning ved utfylling av en slik blankett har ikke andre rettsvirkninger enn de som </w:t>
            </w:r>
            <w:r>
              <w:rPr>
                <w:sz w:val="22"/>
              </w:rPr>
              <w:t>følger av aksjeloven. Det er ingen forskjell om tegningen skjer ved fullmakt.</w:t>
            </w:r>
          </w:p>
        </w:tc>
      </w:tr>
    </w:tbl>
    <w:p w14:paraId="50E77396" w14:textId="77777777" w:rsidR="00481BC9" w:rsidRDefault="00481BC9">
      <w:pPr>
        <w:rPr>
          <w:sz w:val="6"/>
        </w:rPr>
      </w:pPr>
    </w:p>
    <w:p w14:paraId="5A4A2DEA"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33F6DE9F" w14:textId="77777777">
        <w:tc>
          <w:tcPr>
            <w:tcW w:w="720" w:type="dxa"/>
            <w:noWrap/>
            <w:tcMar>
              <w:right w:w="80" w:type="dxa"/>
            </w:tcMar>
          </w:tcPr>
          <w:p w14:paraId="6AD03D7A" w14:textId="77777777" w:rsidR="00481BC9" w:rsidRDefault="00186AF9">
            <w:pPr>
              <w:rPr>
                <w:sz w:val="22"/>
              </w:rPr>
            </w:pPr>
            <w:r>
              <w:rPr>
                <w:sz w:val="22"/>
              </w:rPr>
              <w:t>(24)</w:t>
            </w:r>
          </w:p>
        </w:tc>
        <w:tc>
          <w:tcPr>
            <w:tcW w:w="0" w:type="auto"/>
            <w:tcMar>
              <w:right w:w="80" w:type="dxa"/>
            </w:tcMar>
          </w:tcPr>
          <w:p w14:paraId="51D3587F" w14:textId="77777777" w:rsidR="00481BC9" w:rsidRDefault="00186AF9">
            <w:pPr>
              <w:rPr>
                <w:sz w:val="22"/>
              </w:rPr>
            </w:pPr>
            <w:r>
              <w:rPr>
                <w:sz w:val="22"/>
              </w:rPr>
              <w:t>Det er usannsynlig at det er inngått en egen avtale som fraviker aksjelovens regler om kapitalforhøyelse, og det må derfor kreves uttrykkelige og utvetydige utsagn for at slik avtale skal kunne anses inngått.</w:t>
            </w:r>
          </w:p>
        </w:tc>
      </w:tr>
    </w:tbl>
    <w:p w14:paraId="20C7557A" w14:textId="77777777" w:rsidR="00481BC9" w:rsidRDefault="00481BC9">
      <w:pPr>
        <w:rPr>
          <w:sz w:val="6"/>
        </w:rPr>
      </w:pPr>
    </w:p>
    <w:p w14:paraId="1A26E963"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6BA78DA6" w14:textId="77777777">
        <w:tc>
          <w:tcPr>
            <w:tcW w:w="720" w:type="dxa"/>
            <w:noWrap/>
            <w:tcMar>
              <w:right w:w="80" w:type="dxa"/>
            </w:tcMar>
          </w:tcPr>
          <w:p w14:paraId="61D43A0D" w14:textId="77777777" w:rsidR="00481BC9" w:rsidRDefault="00186AF9">
            <w:pPr>
              <w:rPr>
                <w:sz w:val="22"/>
              </w:rPr>
            </w:pPr>
            <w:r>
              <w:rPr>
                <w:sz w:val="22"/>
              </w:rPr>
              <w:t>(25)</w:t>
            </w:r>
          </w:p>
        </w:tc>
        <w:tc>
          <w:tcPr>
            <w:tcW w:w="0" w:type="auto"/>
            <w:tcMar>
              <w:right w:w="80" w:type="dxa"/>
            </w:tcMar>
          </w:tcPr>
          <w:p w14:paraId="25C402AE" w14:textId="77777777" w:rsidR="00481BC9" w:rsidRDefault="00186AF9">
            <w:pPr>
              <w:rPr>
                <w:sz w:val="22"/>
              </w:rPr>
            </w:pPr>
            <w:r>
              <w:rPr>
                <w:sz w:val="22"/>
              </w:rPr>
              <w:t xml:space="preserve">Dersom Høyesterett likevel kommer til at det ble inngått en slik avtale, er denne uansett bortfalt. Den emisjonen avtalen i så fall gjaldt, kan ikke lenger gjennomføres. Det følger da av </w:t>
            </w:r>
            <w:hyperlink r:id="rId19" w:anchor="reference/lov/1997-06-13-44/§10-9" w:history="1">
              <w:r>
                <w:rPr>
                  <w:sz w:val="22"/>
                </w:rPr>
                <w:t>aksjeloven § 10-9</w:t>
              </w:r>
            </w:hyperlink>
            <w:r>
              <w:rPr>
                <w:sz w:val="22"/>
              </w:rPr>
              <w:t xml:space="preserve"> tredje ledd at tegningen ikke lenger er bindende.</w:t>
            </w:r>
          </w:p>
        </w:tc>
      </w:tr>
    </w:tbl>
    <w:p w14:paraId="15F1FB3D" w14:textId="77777777" w:rsidR="00481BC9" w:rsidRDefault="00481BC9">
      <w:pPr>
        <w:rPr>
          <w:sz w:val="6"/>
        </w:rPr>
      </w:pPr>
    </w:p>
    <w:p w14:paraId="7F401638"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21FC9EB4" w14:textId="77777777">
        <w:tc>
          <w:tcPr>
            <w:tcW w:w="720" w:type="dxa"/>
            <w:noWrap/>
            <w:tcMar>
              <w:right w:w="80" w:type="dxa"/>
            </w:tcMar>
          </w:tcPr>
          <w:p w14:paraId="58A151FC" w14:textId="77777777" w:rsidR="00481BC9" w:rsidRDefault="00186AF9">
            <w:pPr>
              <w:rPr>
                <w:sz w:val="22"/>
              </w:rPr>
            </w:pPr>
            <w:r>
              <w:rPr>
                <w:sz w:val="22"/>
              </w:rPr>
              <w:t>(26)</w:t>
            </w:r>
          </w:p>
        </w:tc>
        <w:tc>
          <w:tcPr>
            <w:tcW w:w="0" w:type="auto"/>
            <w:tcMar>
              <w:right w:w="80" w:type="dxa"/>
            </w:tcMar>
          </w:tcPr>
          <w:p w14:paraId="3FD32343" w14:textId="77777777" w:rsidR="00481BC9" w:rsidRDefault="00186AF9">
            <w:pPr>
              <w:rPr>
                <w:sz w:val="22"/>
              </w:rPr>
            </w:pPr>
            <w:r>
              <w:rPr>
                <w:sz w:val="22"/>
              </w:rPr>
              <w:t>Det kan under ingen omstendighet kreves naturaloppfyllelse.</w:t>
            </w:r>
          </w:p>
        </w:tc>
      </w:tr>
    </w:tbl>
    <w:p w14:paraId="73611F4D" w14:textId="77777777" w:rsidR="00481BC9" w:rsidRDefault="00481BC9">
      <w:pPr>
        <w:rPr>
          <w:sz w:val="6"/>
        </w:rPr>
      </w:pPr>
    </w:p>
    <w:p w14:paraId="6FFACAD9"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483A8F11" w14:textId="77777777">
        <w:tc>
          <w:tcPr>
            <w:tcW w:w="720" w:type="dxa"/>
            <w:noWrap/>
            <w:tcMar>
              <w:right w:w="80" w:type="dxa"/>
            </w:tcMar>
          </w:tcPr>
          <w:p w14:paraId="0344ED08" w14:textId="77777777" w:rsidR="00481BC9" w:rsidRDefault="00186AF9">
            <w:pPr>
              <w:rPr>
                <w:sz w:val="22"/>
              </w:rPr>
            </w:pPr>
            <w:r>
              <w:rPr>
                <w:sz w:val="22"/>
              </w:rPr>
              <w:t>(27)</w:t>
            </w:r>
          </w:p>
        </w:tc>
        <w:tc>
          <w:tcPr>
            <w:tcW w:w="0" w:type="auto"/>
            <w:tcMar>
              <w:right w:w="80" w:type="dxa"/>
            </w:tcMar>
          </w:tcPr>
          <w:p w14:paraId="06460BAD" w14:textId="77777777" w:rsidR="00481BC9" w:rsidRDefault="00186AF9">
            <w:pPr>
              <w:rPr>
                <w:sz w:val="22"/>
              </w:rPr>
            </w:pPr>
            <w:r>
              <w:rPr>
                <w:sz w:val="22"/>
              </w:rPr>
              <w:t xml:space="preserve">Erstatningskravet som er fremsatt, er reelt sett et surrogat for tegningsbeløpet som ikke kan føre frem. De alminnelige erstatningsvilkårene er ikke oppfylt. </w:t>
            </w:r>
            <w:proofErr w:type="spellStart"/>
            <w:r>
              <w:rPr>
                <w:sz w:val="22"/>
              </w:rPr>
              <w:t>ReeM</w:t>
            </w:r>
            <w:proofErr w:type="spellEnd"/>
            <w:r>
              <w:rPr>
                <w:sz w:val="22"/>
              </w:rPr>
              <w:t xml:space="preserve"> har ikke dokumentert at det foreligger årsakssammenheng mellom manglende innbetaling av tegningsbeløpet og selskapets økonomiske tap.</w:t>
            </w:r>
          </w:p>
        </w:tc>
      </w:tr>
    </w:tbl>
    <w:p w14:paraId="098F57E3" w14:textId="77777777" w:rsidR="00481BC9" w:rsidRDefault="00481BC9">
      <w:pPr>
        <w:rPr>
          <w:sz w:val="6"/>
        </w:rPr>
      </w:pPr>
    </w:p>
    <w:p w14:paraId="5B2B460D"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586"/>
      </w:tblGrid>
      <w:tr w:rsidR="00481BC9" w14:paraId="04D37574" w14:textId="77777777">
        <w:tc>
          <w:tcPr>
            <w:tcW w:w="720" w:type="dxa"/>
            <w:noWrap/>
            <w:tcMar>
              <w:right w:w="80" w:type="dxa"/>
            </w:tcMar>
          </w:tcPr>
          <w:p w14:paraId="262B4F78" w14:textId="77777777" w:rsidR="00481BC9" w:rsidRDefault="00186AF9">
            <w:pPr>
              <w:rPr>
                <w:sz w:val="22"/>
              </w:rPr>
            </w:pPr>
            <w:r>
              <w:rPr>
                <w:sz w:val="22"/>
              </w:rPr>
              <w:t>(28)</w:t>
            </w:r>
          </w:p>
        </w:tc>
        <w:tc>
          <w:tcPr>
            <w:tcW w:w="0" w:type="auto"/>
            <w:tcMar>
              <w:right w:w="80" w:type="dxa"/>
            </w:tcMar>
          </w:tcPr>
          <w:p w14:paraId="669473E7" w14:textId="77777777" w:rsidR="00481BC9" w:rsidRDefault="00186AF9">
            <w:pPr>
              <w:rPr>
                <w:sz w:val="6"/>
              </w:rPr>
            </w:pPr>
            <w:r>
              <w:rPr>
                <w:sz w:val="22"/>
              </w:rPr>
              <w:t>Norman Finans AS har nedlagt slik påstand:</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440"/>
              <w:gridCol w:w="8066"/>
            </w:tblGrid>
            <w:tr w:rsidR="00481BC9" w14:paraId="0179C637" w14:textId="77777777">
              <w:tc>
                <w:tcPr>
                  <w:tcW w:w="1440" w:type="dxa"/>
                  <w:noWrap/>
                  <w:tcMar>
                    <w:right w:w="80" w:type="dxa"/>
                  </w:tcMar>
                </w:tcPr>
                <w:p w14:paraId="682F3F6E" w14:textId="77777777" w:rsidR="00481BC9" w:rsidRDefault="00186AF9">
                  <w:pPr>
                    <w:jc w:val="right"/>
                    <w:rPr>
                      <w:sz w:val="22"/>
                    </w:rPr>
                  </w:pPr>
                  <w:r>
                    <w:rPr>
                      <w:sz w:val="22"/>
                    </w:rPr>
                    <w:t>«1.</w:t>
                  </w:r>
                </w:p>
              </w:tc>
              <w:tc>
                <w:tcPr>
                  <w:tcW w:w="8066" w:type="dxa"/>
                  <w:noWrap/>
                  <w:tcMar>
                    <w:right w:w="80" w:type="dxa"/>
                  </w:tcMar>
                </w:tcPr>
                <w:p w14:paraId="77A148FB" w14:textId="77777777" w:rsidR="00481BC9" w:rsidRDefault="00186AF9">
                  <w:pPr>
                    <w:rPr>
                      <w:sz w:val="22"/>
                    </w:rPr>
                  </w:pPr>
                  <w:r>
                    <w:rPr>
                      <w:sz w:val="22"/>
                    </w:rPr>
                    <w:t>Anken forkastes.</w:t>
                  </w:r>
                </w:p>
              </w:tc>
            </w:tr>
          </w:tbl>
          <w:p w14:paraId="37B5D75D" w14:textId="77777777" w:rsidR="00481BC9" w:rsidRDefault="00481BC9">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440"/>
              <w:gridCol w:w="8066"/>
            </w:tblGrid>
            <w:tr w:rsidR="00481BC9" w14:paraId="4A42F733" w14:textId="77777777">
              <w:tc>
                <w:tcPr>
                  <w:tcW w:w="1440" w:type="dxa"/>
                  <w:noWrap/>
                  <w:tcMar>
                    <w:right w:w="80" w:type="dxa"/>
                  </w:tcMar>
                </w:tcPr>
                <w:p w14:paraId="5613EB25" w14:textId="77777777" w:rsidR="00481BC9" w:rsidRDefault="00186AF9">
                  <w:pPr>
                    <w:jc w:val="right"/>
                    <w:rPr>
                      <w:sz w:val="22"/>
                    </w:rPr>
                  </w:pPr>
                  <w:r>
                    <w:rPr>
                      <w:sz w:val="22"/>
                    </w:rPr>
                    <w:t>2.</w:t>
                  </w:r>
                </w:p>
              </w:tc>
              <w:tc>
                <w:tcPr>
                  <w:tcW w:w="8066" w:type="dxa"/>
                  <w:noWrap/>
                  <w:tcMar>
                    <w:right w:w="80" w:type="dxa"/>
                  </w:tcMar>
                </w:tcPr>
                <w:p w14:paraId="5530C002" w14:textId="77777777" w:rsidR="00481BC9" w:rsidRDefault="00186AF9">
                  <w:pPr>
                    <w:rPr>
                      <w:sz w:val="22"/>
                    </w:rPr>
                  </w:pPr>
                  <w:r>
                    <w:rPr>
                      <w:sz w:val="22"/>
                    </w:rPr>
                    <w:t>Norman Finans AS tilkjennes saksomkostninger for Høyesterett.»</w:t>
                  </w:r>
                </w:p>
              </w:tc>
            </w:tr>
          </w:tbl>
          <w:p w14:paraId="06123DA4" w14:textId="77777777" w:rsidR="00481BC9" w:rsidRDefault="00481BC9">
            <w:pPr>
              <w:rPr>
                <w:sz w:val="22"/>
              </w:rPr>
            </w:pPr>
          </w:p>
        </w:tc>
      </w:tr>
    </w:tbl>
    <w:p w14:paraId="3F4D9172" w14:textId="77777777" w:rsidR="00481BC9" w:rsidRDefault="00481BC9">
      <w:pPr>
        <w:rPr>
          <w:sz w:val="6"/>
        </w:rPr>
      </w:pPr>
    </w:p>
    <w:p w14:paraId="1DD1A5FF"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2FABCB3B" w14:textId="77777777">
        <w:tc>
          <w:tcPr>
            <w:tcW w:w="720" w:type="dxa"/>
            <w:noWrap/>
            <w:tcMar>
              <w:right w:w="80" w:type="dxa"/>
            </w:tcMar>
          </w:tcPr>
          <w:p w14:paraId="0ED9EA7A" w14:textId="77777777" w:rsidR="00481BC9" w:rsidRDefault="00186AF9">
            <w:pPr>
              <w:rPr>
                <w:sz w:val="22"/>
              </w:rPr>
            </w:pPr>
            <w:r>
              <w:rPr>
                <w:sz w:val="22"/>
              </w:rPr>
              <w:t>(29)</w:t>
            </w:r>
          </w:p>
        </w:tc>
        <w:tc>
          <w:tcPr>
            <w:tcW w:w="0" w:type="auto"/>
            <w:tcMar>
              <w:right w:w="80" w:type="dxa"/>
            </w:tcMar>
          </w:tcPr>
          <w:p w14:paraId="5904FEB2" w14:textId="77777777" w:rsidR="00481BC9" w:rsidRDefault="00186AF9">
            <w:pPr>
              <w:rPr>
                <w:sz w:val="22"/>
              </w:rPr>
            </w:pPr>
            <w:r>
              <w:rPr>
                <w:b/>
                <w:sz w:val="22"/>
              </w:rPr>
              <w:t>Jeg er kommet til</w:t>
            </w:r>
            <w:r>
              <w:rPr>
                <w:sz w:val="22"/>
              </w:rPr>
              <w:t xml:space="preserve"> at anken fører frem.</w:t>
            </w:r>
          </w:p>
        </w:tc>
      </w:tr>
    </w:tbl>
    <w:p w14:paraId="6CA064BB" w14:textId="77777777" w:rsidR="00481BC9" w:rsidRDefault="00481BC9">
      <w:pPr>
        <w:rPr>
          <w:sz w:val="6"/>
        </w:rPr>
      </w:pPr>
    </w:p>
    <w:p w14:paraId="60455304"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7750F6FD" w14:textId="77777777">
        <w:tc>
          <w:tcPr>
            <w:tcW w:w="720" w:type="dxa"/>
            <w:noWrap/>
            <w:tcMar>
              <w:right w:w="80" w:type="dxa"/>
            </w:tcMar>
          </w:tcPr>
          <w:p w14:paraId="5E8EAEAC" w14:textId="77777777" w:rsidR="00481BC9" w:rsidRDefault="00186AF9">
            <w:pPr>
              <w:rPr>
                <w:sz w:val="22"/>
              </w:rPr>
            </w:pPr>
            <w:r>
              <w:rPr>
                <w:sz w:val="22"/>
              </w:rPr>
              <w:t>(30)</w:t>
            </w:r>
          </w:p>
        </w:tc>
        <w:tc>
          <w:tcPr>
            <w:tcW w:w="0" w:type="auto"/>
            <w:tcMar>
              <w:right w:w="80" w:type="dxa"/>
            </w:tcMar>
          </w:tcPr>
          <w:p w14:paraId="22CFDDBE" w14:textId="77777777" w:rsidR="00481BC9" w:rsidRDefault="00186AF9">
            <w:pPr>
              <w:rPr>
                <w:sz w:val="6"/>
              </w:rPr>
            </w:pPr>
            <w:hyperlink r:id="rId20" w:anchor="reference/lov/1997-06-13-44/§10-9" w:history="1">
              <w:r>
                <w:rPr>
                  <w:sz w:val="22"/>
                </w:rPr>
                <w:t>Aksjeloven § 10-9</w:t>
              </w:r>
            </w:hyperlink>
            <w:r>
              <w:rPr>
                <w:sz w:val="22"/>
              </w:rPr>
              <w:t xml:space="preserve"> første og tredje ledd har slik ordlyd:</w:t>
            </w:r>
          </w:p>
          <w:p w14:paraId="1B7A9306" w14:textId="77777777" w:rsidR="00481BC9" w:rsidRDefault="00186AF9">
            <w:pPr>
              <w:spacing w:before="120"/>
              <w:ind w:left="1080"/>
              <w:rPr>
                <w:sz w:val="6"/>
              </w:rPr>
            </w:pPr>
            <w:r>
              <w:rPr>
                <w:sz w:val="22"/>
              </w:rPr>
              <w:t xml:space="preserve">«(1) Er det minstebeløpet som er fastsatt av generalforsamlingen tegnet, skal </w:t>
            </w:r>
            <w:r>
              <w:rPr>
                <w:sz w:val="22"/>
              </w:rPr>
              <w:t>kapitalforhøyelsen meldes til Foretaksregisteret innen tre måneder etter tegningsfristens utløp. Meldingen skal angi beløpet for kapitalforhøyelsen.</w:t>
            </w:r>
          </w:p>
          <w:p w14:paraId="48670E38" w14:textId="77777777" w:rsidR="00481BC9" w:rsidRDefault="00186AF9">
            <w:pPr>
              <w:spacing w:before="120"/>
              <w:ind w:left="1080"/>
              <w:rPr>
                <w:sz w:val="6"/>
              </w:rPr>
            </w:pPr>
            <w:r>
              <w:rPr>
                <w:sz w:val="22"/>
              </w:rPr>
              <w:t>...</w:t>
            </w:r>
          </w:p>
          <w:p w14:paraId="3499474C" w14:textId="77777777" w:rsidR="00481BC9" w:rsidRDefault="00186AF9">
            <w:pPr>
              <w:spacing w:before="120"/>
              <w:ind w:left="1080"/>
              <w:rPr>
                <w:sz w:val="22"/>
              </w:rPr>
            </w:pPr>
            <w:r>
              <w:rPr>
                <w:sz w:val="22"/>
              </w:rPr>
              <w:t>(3) Er kapitalforhøyelsen ikke meldt til Foretaksregisteret innen fristens utløp, kan registrering ikke finne sted. Tegningene av aksjer er da ikke lenger bindende. Det samme gjelder om registrering nektes på grunn av feil som ikke kan rettes.»</w:t>
            </w:r>
          </w:p>
        </w:tc>
      </w:tr>
    </w:tbl>
    <w:p w14:paraId="78203394" w14:textId="77777777" w:rsidR="00481BC9" w:rsidRDefault="00481BC9">
      <w:pPr>
        <w:rPr>
          <w:sz w:val="6"/>
        </w:rPr>
      </w:pPr>
    </w:p>
    <w:p w14:paraId="0667B5B9"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533F105D" w14:textId="77777777">
        <w:tc>
          <w:tcPr>
            <w:tcW w:w="720" w:type="dxa"/>
            <w:noWrap/>
            <w:tcMar>
              <w:right w:w="80" w:type="dxa"/>
            </w:tcMar>
          </w:tcPr>
          <w:p w14:paraId="53B31E8C" w14:textId="77777777" w:rsidR="00481BC9" w:rsidRDefault="00186AF9">
            <w:pPr>
              <w:rPr>
                <w:sz w:val="22"/>
              </w:rPr>
            </w:pPr>
            <w:r>
              <w:rPr>
                <w:sz w:val="22"/>
              </w:rPr>
              <w:t>(31)</w:t>
            </w:r>
          </w:p>
        </w:tc>
        <w:tc>
          <w:tcPr>
            <w:tcW w:w="0" w:type="auto"/>
            <w:tcMar>
              <w:right w:w="80" w:type="dxa"/>
            </w:tcMar>
          </w:tcPr>
          <w:p w14:paraId="19A7BE5F" w14:textId="77777777" w:rsidR="00481BC9" w:rsidRDefault="00186AF9">
            <w:pPr>
              <w:rPr>
                <w:sz w:val="22"/>
              </w:rPr>
            </w:pPr>
            <w:r>
              <w:rPr>
                <w:sz w:val="22"/>
              </w:rPr>
              <w:t xml:space="preserve">Spørsmålet er dermed om det forhold at tegningene av aksjer «ikke lenger [er] bindende» slik at emisjonen ikke kan gjennomføres, også har </w:t>
            </w:r>
            <w:r>
              <w:rPr>
                <w:i/>
                <w:sz w:val="22"/>
              </w:rPr>
              <w:t>avtalerettslige</w:t>
            </w:r>
            <w:r>
              <w:rPr>
                <w:sz w:val="22"/>
              </w:rPr>
              <w:t xml:space="preserve"> konsekvenser som innebærer at selskapet ikke lenger kan kreve oppfyllelse av aksjetegningen.</w:t>
            </w:r>
          </w:p>
        </w:tc>
      </w:tr>
    </w:tbl>
    <w:p w14:paraId="35638F0F" w14:textId="77777777" w:rsidR="00481BC9" w:rsidRDefault="00481BC9">
      <w:pPr>
        <w:rPr>
          <w:sz w:val="6"/>
        </w:rPr>
      </w:pPr>
    </w:p>
    <w:p w14:paraId="47741308"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26DD7B4C" w14:textId="77777777">
        <w:tc>
          <w:tcPr>
            <w:tcW w:w="720" w:type="dxa"/>
            <w:noWrap/>
            <w:tcMar>
              <w:right w:w="80" w:type="dxa"/>
            </w:tcMar>
          </w:tcPr>
          <w:p w14:paraId="4B0AF8EA" w14:textId="77777777" w:rsidR="00481BC9" w:rsidRDefault="00186AF9">
            <w:pPr>
              <w:rPr>
                <w:sz w:val="22"/>
              </w:rPr>
            </w:pPr>
            <w:r>
              <w:rPr>
                <w:sz w:val="22"/>
              </w:rPr>
              <w:t>(32)</w:t>
            </w:r>
          </w:p>
        </w:tc>
        <w:tc>
          <w:tcPr>
            <w:tcW w:w="0" w:type="auto"/>
            <w:tcMar>
              <w:right w:w="80" w:type="dxa"/>
            </w:tcMar>
          </w:tcPr>
          <w:p w14:paraId="7EFC0F22" w14:textId="77777777" w:rsidR="00481BC9" w:rsidRDefault="00186AF9">
            <w:pPr>
              <w:rPr>
                <w:sz w:val="22"/>
              </w:rPr>
            </w:pPr>
            <w:r>
              <w:rPr>
                <w:sz w:val="22"/>
              </w:rPr>
              <w:t xml:space="preserve">Jeg ser først på hvilke karakteristiske trekk som er knyttet til aksjetegningen som </w:t>
            </w:r>
            <w:r>
              <w:rPr>
                <w:sz w:val="22"/>
              </w:rPr>
              <w:t>rettshandel.</w:t>
            </w:r>
          </w:p>
        </w:tc>
      </w:tr>
    </w:tbl>
    <w:p w14:paraId="19CFD479" w14:textId="77777777" w:rsidR="00481BC9" w:rsidRDefault="00481BC9">
      <w:pPr>
        <w:rPr>
          <w:sz w:val="6"/>
        </w:rPr>
      </w:pPr>
    </w:p>
    <w:p w14:paraId="5516F2D5"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22096782" w14:textId="77777777">
        <w:tc>
          <w:tcPr>
            <w:tcW w:w="720" w:type="dxa"/>
            <w:noWrap/>
            <w:tcMar>
              <w:right w:w="80" w:type="dxa"/>
            </w:tcMar>
          </w:tcPr>
          <w:p w14:paraId="6C6EBD27" w14:textId="77777777" w:rsidR="00481BC9" w:rsidRDefault="00186AF9">
            <w:pPr>
              <w:rPr>
                <w:sz w:val="22"/>
              </w:rPr>
            </w:pPr>
            <w:r>
              <w:rPr>
                <w:sz w:val="22"/>
              </w:rPr>
              <w:t>(33)</w:t>
            </w:r>
          </w:p>
        </w:tc>
        <w:tc>
          <w:tcPr>
            <w:tcW w:w="0" w:type="auto"/>
            <w:tcMar>
              <w:right w:w="80" w:type="dxa"/>
            </w:tcMar>
          </w:tcPr>
          <w:p w14:paraId="6F5B70F5" w14:textId="77777777" w:rsidR="00481BC9" w:rsidRDefault="00186AF9">
            <w:pPr>
              <w:rPr>
                <w:sz w:val="22"/>
              </w:rPr>
            </w:pPr>
            <w:r>
              <w:rPr>
                <w:sz w:val="22"/>
              </w:rPr>
              <w:t xml:space="preserve">Henvendelsen fra et selskap om å tegne aksjer i selskapet eller tilsvarende henvendelse kan oppfattes som et tilbud adressaten kan akseptere, med den følge at avtale er kommet i stand. Men </w:t>
            </w:r>
            <w:r>
              <w:rPr>
                <w:sz w:val="22"/>
              </w:rPr>
              <w:lastRenderedPageBreak/>
              <w:t>tegningsinnbydelsen eller tilsvarende henvendelse kan også betraktes som en oppfordring fra selskapet til bestemte personer eller andre til å fremsette tilbud om å tegne aksjer. Uavhengig av hvordan man ser på dette, kan en aksjetegning i utgangspunktet danne grunnlaget for et gjensidig bebyrdende rettsforhold mellom partene, men bindingstidspunktet kan bli forskjellig.</w:t>
            </w:r>
          </w:p>
        </w:tc>
      </w:tr>
    </w:tbl>
    <w:p w14:paraId="5DD4AD7B" w14:textId="77777777" w:rsidR="00481BC9" w:rsidRDefault="00481BC9">
      <w:pPr>
        <w:rPr>
          <w:sz w:val="6"/>
        </w:rPr>
      </w:pPr>
    </w:p>
    <w:p w14:paraId="43103DEC"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4A62739A" w14:textId="77777777">
        <w:tc>
          <w:tcPr>
            <w:tcW w:w="720" w:type="dxa"/>
            <w:noWrap/>
            <w:tcMar>
              <w:right w:w="80" w:type="dxa"/>
            </w:tcMar>
          </w:tcPr>
          <w:p w14:paraId="61245256" w14:textId="77777777" w:rsidR="00481BC9" w:rsidRDefault="00186AF9">
            <w:pPr>
              <w:rPr>
                <w:sz w:val="22"/>
              </w:rPr>
            </w:pPr>
            <w:r>
              <w:rPr>
                <w:sz w:val="22"/>
              </w:rPr>
              <w:t>(34)</w:t>
            </w:r>
          </w:p>
        </w:tc>
        <w:tc>
          <w:tcPr>
            <w:tcW w:w="0" w:type="auto"/>
            <w:tcMar>
              <w:right w:w="80" w:type="dxa"/>
            </w:tcMar>
          </w:tcPr>
          <w:p w14:paraId="497791A5" w14:textId="77777777" w:rsidR="00481BC9" w:rsidRDefault="00186AF9">
            <w:pPr>
              <w:rPr>
                <w:sz w:val="6"/>
              </w:rPr>
            </w:pPr>
            <w:r>
              <w:rPr>
                <w:sz w:val="22"/>
              </w:rPr>
              <w:t xml:space="preserve">I Magnus Aarbakkes artikkel, Aksjetegning, Ugyldighet, mislighold og ansvar i </w:t>
            </w:r>
            <w:hyperlink r:id="rId21" w:anchor="reference/litteratur/tfr-1989-333" w:history="1">
              <w:proofErr w:type="spellStart"/>
              <w:r>
                <w:rPr>
                  <w:sz w:val="22"/>
                </w:rPr>
                <w:t>TfR</w:t>
              </w:r>
              <w:proofErr w:type="spellEnd"/>
              <w:r>
                <w:rPr>
                  <w:sz w:val="22"/>
                </w:rPr>
                <w:t xml:space="preserve"> 1989 side 333-358</w:t>
              </w:r>
            </w:hyperlink>
            <w:r>
              <w:rPr>
                <w:sz w:val="22"/>
              </w:rPr>
              <w:t xml:space="preserve"> uttaler han om dette på side 335:</w:t>
            </w:r>
          </w:p>
          <w:p w14:paraId="0B1B5012" w14:textId="77777777" w:rsidR="00481BC9" w:rsidRDefault="00186AF9">
            <w:pPr>
              <w:spacing w:before="120"/>
              <w:ind w:left="1080"/>
              <w:rPr>
                <w:sz w:val="6"/>
              </w:rPr>
            </w:pPr>
            <w:r>
              <w:rPr>
                <w:sz w:val="22"/>
              </w:rPr>
              <w:t>«... Stifterne/selskapet er forpliktet til å sørge for at det blir opprettet en aksje og til å tildele aksjetegneren retten til denne aksjen; aksjetegneren er forpliktet til å prestere et innskudd til selskapet ...</w:t>
            </w:r>
          </w:p>
          <w:p w14:paraId="31DB6FF2" w14:textId="77777777" w:rsidR="00481BC9" w:rsidRDefault="00186AF9">
            <w:pPr>
              <w:spacing w:before="120"/>
              <w:ind w:left="1080"/>
              <w:rPr>
                <w:sz w:val="22"/>
              </w:rPr>
            </w:pPr>
            <w:r>
              <w:rPr>
                <w:sz w:val="22"/>
              </w:rPr>
              <w:t>Med dette utgangspunktet er det nærliggende å anta at en aksjetegning er underlagt de alminnelige avtalerettslige regler for gjensidig bebyrdende avtaler. Dette må da også være et hovedsynspunkt. Men det gjør seg gjeldende endel hensyn som er spesielle for selskapsforhold sammenlignet med hensyn man møter f.eks. ved en kjøpsavtale. Disse spesielle hensyn må prege tenkningen omkring ugyldighet, mislighold og ansvar i anledning aksjetegning.»</w:t>
            </w:r>
          </w:p>
        </w:tc>
      </w:tr>
    </w:tbl>
    <w:p w14:paraId="3DF9A8DF" w14:textId="77777777" w:rsidR="00481BC9" w:rsidRDefault="00481BC9">
      <w:pPr>
        <w:rPr>
          <w:sz w:val="6"/>
        </w:rPr>
      </w:pPr>
    </w:p>
    <w:p w14:paraId="2DD04941"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68A8021F" w14:textId="77777777">
        <w:tc>
          <w:tcPr>
            <w:tcW w:w="720" w:type="dxa"/>
            <w:noWrap/>
            <w:tcMar>
              <w:right w:w="80" w:type="dxa"/>
            </w:tcMar>
          </w:tcPr>
          <w:p w14:paraId="2A971F14" w14:textId="77777777" w:rsidR="00481BC9" w:rsidRDefault="00186AF9">
            <w:pPr>
              <w:rPr>
                <w:sz w:val="22"/>
              </w:rPr>
            </w:pPr>
            <w:r>
              <w:rPr>
                <w:sz w:val="22"/>
              </w:rPr>
              <w:t>(35)</w:t>
            </w:r>
          </w:p>
        </w:tc>
        <w:tc>
          <w:tcPr>
            <w:tcW w:w="0" w:type="auto"/>
            <w:tcMar>
              <w:right w:w="80" w:type="dxa"/>
            </w:tcMar>
          </w:tcPr>
          <w:p w14:paraId="028FFB4A" w14:textId="77777777" w:rsidR="00481BC9" w:rsidRDefault="00186AF9">
            <w:pPr>
              <w:rPr>
                <w:sz w:val="22"/>
              </w:rPr>
            </w:pPr>
            <w:r>
              <w:rPr>
                <w:sz w:val="22"/>
              </w:rPr>
              <w:t xml:space="preserve">Det avhenger av en konkret vurdering om det i det enkelte tilfellet er inngått en forpliktende avtale om aksjetegning. Hva det aktuelle dokumentet er betegnet som, kan etter mitt syn her ikke være avgjørende. Jeg kan heller ikke se at det uten videre har betydning om aksjetegningen skjer i generalforsamlingsprotokollen, i et dokument som gjengir generalforsamlingens beslutning om kapitalforhøyelse, jf. </w:t>
            </w:r>
            <w:hyperlink r:id="rId22" w:anchor="reference/lov/1997-06-13-44/§10-7" w:history="1">
              <w:r>
                <w:rPr>
                  <w:sz w:val="22"/>
                </w:rPr>
                <w:t>aksjeloven § 10-7</w:t>
              </w:r>
            </w:hyperlink>
            <w:r>
              <w:rPr>
                <w:sz w:val="22"/>
              </w:rPr>
              <w:t xml:space="preserve"> første ledd og </w:t>
            </w:r>
            <w:hyperlink r:id="rId23" w:anchor="reference/lov/1997-06-13-44/§10-18" w:history="1">
              <w:r>
                <w:rPr>
                  <w:sz w:val="22"/>
                </w:rPr>
                <w:t>§ 10-18</w:t>
              </w:r>
            </w:hyperlink>
            <w:r>
              <w:rPr>
                <w:sz w:val="22"/>
              </w:rPr>
              <w:t>, eller om aksjetegneren i forkant av emisjonen forplikter seg overfor selskapet til å tegne aksjer.</w:t>
            </w:r>
          </w:p>
        </w:tc>
      </w:tr>
    </w:tbl>
    <w:p w14:paraId="106660F8" w14:textId="77777777" w:rsidR="00481BC9" w:rsidRDefault="00481BC9">
      <w:pPr>
        <w:rPr>
          <w:sz w:val="6"/>
        </w:rPr>
      </w:pPr>
    </w:p>
    <w:p w14:paraId="42A2BE52"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7FC6218D" w14:textId="77777777">
        <w:tc>
          <w:tcPr>
            <w:tcW w:w="720" w:type="dxa"/>
            <w:noWrap/>
            <w:tcMar>
              <w:right w:w="80" w:type="dxa"/>
            </w:tcMar>
          </w:tcPr>
          <w:p w14:paraId="786C1A6A" w14:textId="77777777" w:rsidR="00481BC9" w:rsidRDefault="00186AF9">
            <w:pPr>
              <w:rPr>
                <w:sz w:val="22"/>
              </w:rPr>
            </w:pPr>
            <w:r>
              <w:rPr>
                <w:sz w:val="22"/>
              </w:rPr>
              <w:t>(36)</w:t>
            </w:r>
          </w:p>
        </w:tc>
        <w:tc>
          <w:tcPr>
            <w:tcW w:w="0" w:type="auto"/>
            <w:tcMar>
              <w:right w:w="80" w:type="dxa"/>
            </w:tcMar>
          </w:tcPr>
          <w:p w14:paraId="663E5169" w14:textId="77777777" w:rsidR="00481BC9" w:rsidRDefault="00186AF9">
            <w:pPr>
              <w:rPr>
                <w:sz w:val="22"/>
              </w:rPr>
            </w:pPr>
            <w:r>
              <w:rPr>
                <w:sz w:val="22"/>
              </w:rPr>
              <w:t xml:space="preserve">Spørsmålet er så </w:t>
            </w:r>
            <w:r>
              <w:rPr>
                <w:sz w:val="22"/>
              </w:rPr>
              <w:t xml:space="preserve">om NF har inngått en forpliktende avtale om å tegne aksjer i </w:t>
            </w:r>
            <w:proofErr w:type="spellStart"/>
            <w:r>
              <w:rPr>
                <w:sz w:val="22"/>
              </w:rPr>
              <w:t>ReeM</w:t>
            </w:r>
            <w:proofErr w:type="spellEnd"/>
            <w:r>
              <w:rPr>
                <w:sz w:val="22"/>
              </w:rPr>
              <w:t>.</w:t>
            </w:r>
          </w:p>
        </w:tc>
      </w:tr>
    </w:tbl>
    <w:p w14:paraId="6F021A74" w14:textId="77777777" w:rsidR="00481BC9" w:rsidRDefault="00481BC9">
      <w:pPr>
        <w:rPr>
          <w:sz w:val="6"/>
        </w:rPr>
      </w:pPr>
    </w:p>
    <w:p w14:paraId="3EBDB446"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6CFF746C" w14:textId="77777777">
        <w:tc>
          <w:tcPr>
            <w:tcW w:w="720" w:type="dxa"/>
            <w:noWrap/>
            <w:tcMar>
              <w:right w:w="80" w:type="dxa"/>
            </w:tcMar>
          </w:tcPr>
          <w:p w14:paraId="0EB9BD12" w14:textId="77777777" w:rsidR="00481BC9" w:rsidRDefault="00186AF9">
            <w:pPr>
              <w:rPr>
                <w:sz w:val="22"/>
              </w:rPr>
            </w:pPr>
            <w:r>
              <w:rPr>
                <w:sz w:val="22"/>
              </w:rPr>
              <w:t>(37)</w:t>
            </w:r>
          </w:p>
        </w:tc>
        <w:tc>
          <w:tcPr>
            <w:tcW w:w="0" w:type="auto"/>
            <w:tcMar>
              <w:right w:w="80" w:type="dxa"/>
            </w:tcMar>
          </w:tcPr>
          <w:p w14:paraId="069714A3" w14:textId="77777777" w:rsidR="00481BC9" w:rsidRDefault="00186AF9">
            <w:pPr>
              <w:rPr>
                <w:sz w:val="22"/>
              </w:rPr>
            </w:pPr>
            <w:r>
              <w:rPr>
                <w:sz w:val="22"/>
              </w:rPr>
              <w:t>Jeg har innledningsvis gjengitt innholdet av det relevante dokumentet. At dokumentet som Harald Norman undertegnet, har overskriften «TILBUD OM TEGNING AV AKSJER I REE MINERALS AS», er etter mitt syn ikke avgjørende.</w:t>
            </w:r>
          </w:p>
        </w:tc>
      </w:tr>
    </w:tbl>
    <w:p w14:paraId="1F2250D1" w14:textId="77777777" w:rsidR="00481BC9" w:rsidRDefault="00481BC9">
      <w:pPr>
        <w:rPr>
          <w:sz w:val="6"/>
        </w:rPr>
      </w:pPr>
    </w:p>
    <w:p w14:paraId="028325E4"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18EF223A" w14:textId="77777777">
        <w:tc>
          <w:tcPr>
            <w:tcW w:w="720" w:type="dxa"/>
            <w:noWrap/>
            <w:tcMar>
              <w:right w:w="80" w:type="dxa"/>
            </w:tcMar>
          </w:tcPr>
          <w:p w14:paraId="7C5145A2" w14:textId="77777777" w:rsidR="00481BC9" w:rsidRDefault="00186AF9">
            <w:pPr>
              <w:rPr>
                <w:sz w:val="22"/>
              </w:rPr>
            </w:pPr>
            <w:r>
              <w:rPr>
                <w:sz w:val="22"/>
              </w:rPr>
              <w:t>(38)</w:t>
            </w:r>
          </w:p>
        </w:tc>
        <w:tc>
          <w:tcPr>
            <w:tcW w:w="0" w:type="auto"/>
            <w:tcMar>
              <w:right w:w="80" w:type="dxa"/>
            </w:tcMar>
          </w:tcPr>
          <w:p w14:paraId="54E965B1" w14:textId="77777777" w:rsidR="00481BC9" w:rsidRDefault="00186AF9">
            <w:pPr>
              <w:rPr>
                <w:sz w:val="22"/>
              </w:rPr>
            </w:pPr>
            <w:r>
              <w:rPr>
                <w:sz w:val="22"/>
              </w:rPr>
              <w:t xml:space="preserve">Fullmakten </w:t>
            </w:r>
            <w:proofErr w:type="spellStart"/>
            <w:r>
              <w:rPr>
                <w:sz w:val="22"/>
              </w:rPr>
              <w:t>ReeMs</w:t>
            </w:r>
            <w:proofErr w:type="spellEnd"/>
            <w:r>
              <w:rPr>
                <w:sz w:val="22"/>
              </w:rPr>
              <w:t xml:space="preserve"> styreleder, Aslak Aslaksen, fikk til å tegne aksjer på vegne av NF, er gjort «ugjenkallelig». Det følger da av </w:t>
            </w:r>
            <w:hyperlink r:id="rId24" w:anchor="reference/lov/1918-05-31-4/§10" w:history="1">
              <w:r>
                <w:rPr>
                  <w:sz w:val="22"/>
                </w:rPr>
                <w:t>avtaleloven § 10</w:t>
              </w:r>
            </w:hyperlink>
            <w:r>
              <w:rPr>
                <w:sz w:val="22"/>
              </w:rPr>
              <w:t xml:space="preserve"> første ledd at dersom fullmektigen foretar «en </w:t>
            </w:r>
            <w:proofErr w:type="spellStart"/>
            <w:r>
              <w:rPr>
                <w:sz w:val="22"/>
              </w:rPr>
              <w:t>retshandel</w:t>
            </w:r>
            <w:proofErr w:type="spellEnd"/>
            <w:r>
              <w:rPr>
                <w:sz w:val="22"/>
              </w:rPr>
              <w:t xml:space="preserve"> i </w:t>
            </w:r>
            <w:proofErr w:type="spellStart"/>
            <w:r>
              <w:rPr>
                <w:sz w:val="22"/>
              </w:rPr>
              <w:t>fuldmagtsgiverens</w:t>
            </w:r>
            <w:proofErr w:type="spellEnd"/>
            <w:r>
              <w:rPr>
                <w:sz w:val="22"/>
              </w:rPr>
              <w:t xml:space="preserve"> navn og </w:t>
            </w:r>
            <w:proofErr w:type="spellStart"/>
            <w:r>
              <w:rPr>
                <w:sz w:val="22"/>
              </w:rPr>
              <w:t>indenfor</w:t>
            </w:r>
            <w:proofErr w:type="spellEnd"/>
            <w:r>
              <w:rPr>
                <w:sz w:val="22"/>
              </w:rPr>
              <w:t xml:space="preserve"> </w:t>
            </w:r>
            <w:proofErr w:type="spellStart"/>
            <w:r>
              <w:rPr>
                <w:sz w:val="22"/>
              </w:rPr>
              <w:t>fuldmagtens</w:t>
            </w:r>
            <w:proofErr w:type="spellEnd"/>
            <w:r>
              <w:rPr>
                <w:sz w:val="22"/>
              </w:rPr>
              <w:t xml:space="preserve"> </w:t>
            </w:r>
            <w:proofErr w:type="spellStart"/>
            <w:r>
              <w:rPr>
                <w:sz w:val="22"/>
              </w:rPr>
              <w:t>grænse</w:t>
            </w:r>
            <w:proofErr w:type="spellEnd"/>
            <w:r>
              <w:rPr>
                <w:sz w:val="22"/>
              </w:rPr>
              <w:t xml:space="preserve">, stifter </w:t>
            </w:r>
            <w:proofErr w:type="spellStart"/>
            <w:r>
              <w:rPr>
                <w:sz w:val="22"/>
              </w:rPr>
              <w:t>retshandelen</w:t>
            </w:r>
            <w:proofErr w:type="spellEnd"/>
            <w:r>
              <w:rPr>
                <w:sz w:val="22"/>
              </w:rPr>
              <w:t xml:space="preserve"> </w:t>
            </w:r>
            <w:proofErr w:type="spellStart"/>
            <w:r>
              <w:rPr>
                <w:sz w:val="22"/>
              </w:rPr>
              <w:t>ret</w:t>
            </w:r>
            <w:proofErr w:type="spellEnd"/>
            <w:r>
              <w:rPr>
                <w:sz w:val="22"/>
              </w:rPr>
              <w:t xml:space="preserve"> og </w:t>
            </w:r>
            <w:proofErr w:type="spellStart"/>
            <w:r>
              <w:rPr>
                <w:sz w:val="22"/>
              </w:rPr>
              <w:t>pligt</w:t>
            </w:r>
            <w:proofErr w:type="spellEnd"/>
            <w:r>
              <w:rPr>
                <w:sz w:val="22"/>
              </w:rPr>
              <w:t xml:space="preserve"> umiddelbart for </w:t>
            </w:r>
            <w:proofErr w:type="spellStart"/>
            <w:r>
              <w:rPr>
                <w:sz w:val="22"/>
              </w:rPr>
              <w:t>fuldmagtsgiveren</w:t>
            </w:r>
            <w:proofErr w:type="spellEnd"/>
            <w:r>
              <w:rPr>
                <w:sz w:val="22"/>
              </w:rPr>
              <w:t>».</w:t>
            </w:r>
          </w:p>
        </w:tc>
      </w:tr>
    </w:tbl>
    <w:p w14:paraId="2900C644" w14:textId="77777777" w:rsidR="00481BC9" w:rsidRDefault="00481BC9">
      <w:pPr>
        <w:rPr>
          <w:sz w:val="6"/>
        </w:rPr>
      </w:pPr>
    </w:p>
    <w:p w14:paraId="1DC2E537"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48D0DA00" w14:textId="77777777">
        <w:tc>
          <w:tcPr>
            <w:tcW w:w="720" w:type="dxa"/>
            <w:noWrap/>
            <w:tcMar>
              <w:right w:w="80" w:type="dxa"/>
            </w:tcMar>
          </w:tcPr>
          <w:p w14:paraId="58E01F88" w14:textId="77777777" w:rsidR="00481BC9" w:rsidRDefault="00186AF9">
            <w:pPr>
              <w:rPr>
                <w:sz w:val="22"/>
              </w:rPr>
            </w:pPr>
            <w:r>
              <w:rPr>
                <w:sz w:val="22"/>
              </w:rPr>
              <w:t>(39)</w:t>
            </w:r>
          </w:p>
        </w:tc>
        <w:tc>
          <w:tcPr>
            <w:tcW w:w="0" w:type="auto"/>
            <w:tcMar>
              <w:right w:w="80" w:type="dxa"/>
            </w:tcMar>
          </w:tcPr>
          <w:p w14:paraId="29269939" w14:textId="77777777" w:rsidR="00481BC9" w:rsidRDefault="00186AF9">
            <w:pPr>
              <w:rPr>
                <w:sz w:val="22"/>
              </w:rPr>
            </w:pPr>
            <w:r>
              <w:rPr>
                <w:sz w:val="22"/>
              </w:rPr>
              <w:t>Tegningsfristen er i dokumentet oppgitt å være 28. februar 2014, som er den samme dagen som Harald Norman ga styreleder fullmakt til å tegne 75 000 aksjer på vegne av NF.</w:t>
            </w:r>
          </w:p>
        </w:tc>
      </w:tr>
    </w:tbl>
    <w:p w14:paraId="0F4817FB" w14:textId="77777777" w:rsidR="00481BC9" w:rsidRDefault="00481BC9">
      <w:pPr>
        <w:rPr>
          <w:sz w:val="6"/>
        </w:rPr>
      </w:pPr>
    </w:p>
    <w:p w14:paraId="5BCCB3D3"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5711C400" w14:textId="77777777">
        <w:tc>
          <w:tcPr>
            <w:tcW w:w="720" w:type="dxa"/>
            <w:noWrap/>
            <w:tcMar>
              <w:right w:w="80" w:type="dxa"/>
            </w:tcMar>
          </w:tcPr>
          <w:p w14:paraId="571B95F8" w14:textId="77777777" w:rsidR="00481BC9" w:rsidRDefault="00186AF9">
            <w:pPr>
              <w:rPr>
                <w:sz w:val="22"/>
              </w:rPr>
            </w:pPr>
            <w:r>
              <w:rPr>
                <w:sz w:val="22"/>
              </w:rPr>
              <w:t>(40)</w:t>
            </w:r>
          </w:p>
        </w:tc>
        <w:tc>
          <w:tcPr>
            <w:tcW w:w="0" w:type="auto"/>
            <w:tcMar>
              <w:right w:w="80" w:type="dxa"/>
            </w:tcMar>
          </w:tcPr>
          <w:p w14:paraId="58552FA5" w14:textId="77777777" w:rsidR="00481BC9" w:rsidRDefault="00186AF9">
            <w:pPr>
              <w:rPr>
                <w:sz w:val="22"/>
              </w:rPr>
            </w:pPr>
            <w:r>
              <w:rPr>
                <w:sz w:val="22"/>
              </w:rPr>
              <w:t xml:space="preserve">Det fremgår videre at NF «forplikter» seg til å foreta innbetaling av tegningsbeløpet på totalt 12 millioner kroner innen 14. mars 2014 «i </w:t>
            </w:r>
            <w:r>
              <w:rPr>
                <w:sz w:val="22"/>
              </w:rPr>
              <w:t xml:space="preserve">tråd med styrets forestående vedtak om kapitalforhøyelse i selskapet». Dette tilsier at dokumentet må kunne betraktes som et tilbud fra </w:t>
            </w:r>
            <w:proofErr w:type="spellStart"/>
            <w:r>
              <w:rPr>
                <w:sz w:val="22"/>
              </w:rPr>
              <w:t>ReeM</w:t>
            </w:r>
            <w:proofErr w:type="spellEnd"/>
            <w:r>
              <w:rPr>
                <w:sz w:val="22"/>
              </w:rPr>
              <w:t xml:space="preserve"> om aksjetegning. På den annen side tilsier den påtegningen Harald Norman gjorde, at NF fremsatte tilbud.</w:t>
            </w:r>
          </w:p>
        </w:tc>
      </w:tr>
    </w:tbl>
    <w:p w14:paraId="5F9925E4" w14:textId="77777777" w:rsidR="00481BC9" w:rsidRDefault="00481BC9">
      <w:pPr>
        <w:rPr>
          <w:sz w:val="6"/>
        </w:rPr>
      </w:pPr>
    </w:p>
    <w:p w14:paraId="114F7944"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5EE829AC" w14:textId="77777777">
        <w:tc>
          <w:tcPr>
            <w:tcW w:w="720" w:type="dxa"/>
            <w:noWrap/>
            <w:tcMar>
              <w:right w:w="80" w:type="dxa"/>
            </w:tcMar>
          </w:tcPr>
          <w:p w14:paraId="30EBEC96" w14:textId="77777777" w:rsidR="00481BC9" w:rsidRDefault="00186AF9">
            <w:pPr>
              <w:rPr>
                <w:sz w:val="22"/>
              </w:rPr>
            </w:pPr>
            <w:r>
              <w:rPr>
                <w:sz w:val="22"/>
              </w:rPr>
              <w:t>(41)</w:t>
            </w:r>
          </w:p>
        </w:tc>
        <w:tc>
          <w:tcPr>
            <w:tcW w:w="0" w:type="auto"/>
            <w:tcMar>
              <w:right w:w="80" w:type="dxa"/>
            </w:tcMar>
          </w:tcPr>
          <w:p w14:paraId="65E009E3" w14:textId="77777777" w:rsidR="00481BC9" w:rsidRDefault="00186AF9">
            <w:pPr>
              <w:rPr>
                <w:sz w:val="22"/>
              </w:rPr>
            </w:pPr>
            <w:r>
              <w:rPr>
                <w:sz w:val="22"/>
              </w:rPr>
              <w:t>Når man ser dokumentet i sammenheng, er det etter mitt syn mest nærliggende å se den første delen som et tilbud fra selskapet til aksjonærene om aksjetegning, og den andre delen som en aksept som ble gjort betinget ved Normans tilføyelse om opsjon.</w:t>
            </w:r>
          </w:p>
        </w:tc>
      </w:tr>
    </w:tbl>
    <w:p w14:paraId="0B938E05" w14:textId="77777777" w:rsidR="00481BC9" w:rsidRDefault="00481BC9">
      <w:pPr>
        <w:rPr>
          <w:sz w:val="6"/>
        </w:rPr>
      </w:pPr>
    </w:p>
    <w:p w14:paraId="36BC03D3"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0B2A2344" w14:textId="77777777">
        <w:tc>
          <w:tcPr>
            <w:tcW w:w="720" w:type="dxa"/>
            <w:noWrap/>
            <w:tcMar>
              <w:right w:w="80" w:type="dxa"/>
            </w:tcMar>
          </w:tcPr>
          <w:p w14:paraId="65EB7D5B" w14:textId="77777777" w:rsidR="00481BC9" w:rsidRDefault="00186AF9">
            <w:pPr>
              <w:rPr>
                <w:sz w:val="22"/>
              </w:rPr>
            </w:pPr>
            <w:r>
              <w:rPr>
                <w:sz w:val="22"/>
              </w:rPr>
              <w:t>(42)</w:t>
            </w:r>
          </w:p>
        </w:tc>
        <w:tc>
          <w:tcPr>
            <w:tcW w:w="0" w:type="auto"/>
            <w:tcMar>
              <w:right w:w="80" w:type="dxa"/>
            </w:tcMar>
          </w:tcPr>
          <w:p w14:paraId="163505BF" w14:textId="77777777" w:rsidR="00481BC9" w:rsidRDefault="00186AF9">
            <w:pPr>
              <w:rPr>
                <w:sz w:val="22"/>
              </w:rPr>
            </w:pPr>
            <w:r>
              <w:rPr>
                <w:sz w:val="22"/>
              </w:rPr>
              <w:t xml:space="preserve">Dersom dette alternativt bare kan anses som et tilbud fra Normans side, er tilbudet uansett akseptert ved e-posten 3. mars og telefonsamtalen 5. mars 2014, der det fremgår at </w:t>
            </w:r>
            <w:proofErr w:type="spellStart"/>
            <w:r>
              <w:rPr>
                <w:sz w:val="22"/>
              </w:rPr>
              <w:t>ReeM</w:t>
            </w:r>
            <w:proofErr w:type="spellEnd"/>
            <w:r>
              <w:rPr>
                <w:sz w:val="22"/>
              </w:rPr>
              <w:t xml:space="preserve"> aksepterte Normans forutsetning, og at Norman var innforstått med dette.</w:t>
            </w:r>
          </w:p>
        </w:tc>
      </w:tr>
    </w:tbl>
    <w:p w14:paraId="6A97A7FD" w14:textId="77777777" w:rsidR="00481BC9" w:rsidRDefault="00481BC9">
      <w:pPr>
        <w:rPr>
          <w:sz w:val="6"/>
        </w:rPr>
      </w:pPr>
    </w:p>
    <w:p w14:paraId="57148F44"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5FB95D59" w14:textId="77777777">
        <w:tc>
          <w:tcPr>
            <w:tcW w:w="720" w:type="dxa"/>
            <w:noWrap/>
            <w:tcMar>
              <w:right w:w="80" w:type="dxa"/>
            </w:tcMar>
          </w:tcPr>
          <w:p w14:paraId="4AC9154B" w14:textId="77777777" w:rsidR="00481BC9" w:rsidRDefault="00186AF9">
            <w:pPr>
              <w:rPr>
                <w:sz w:val="22"/>
              </w:rPr>
            </w:pPr>
            <w:r>
              <w:rPr>
                <w:sz w:val="22"/>
              </w:rPr>
              <w:t>(43)</w:t>
            </w:r>
          </w:p>
        </w:tc>
        <w:tc>
          <w:tcPr>
            <w:tcW w:w="0" w:type="auto"/>
            <w:tcMar>
              <w:right w:w="80" w:type="dxa"/>
            </w:tcMar>
          </w:tcPr>
          <w:p w14:paraId="1F42C62D" w14:textId="77777777" w:rsidR="00481BC9" w:rsidRDefault="00186AF9">
            <w:pPr>
              <w:rPr>
                <w:sz w:val="22"/>
              </w:rPr>
            </w:pPr>
            <w:r>
              <w:rPr>
                <w:sz w:val="22"/>
              </w:rPr>
              <w:t xml:space="preserve">Jeg er på denne bakgrunn kommet til at det ble inngått en gjensidig forpliktende og bindende avtale mellom NF og </w:t>
            </w:r>
            <w:proofErr w:type="spellStart"/>
            <w:r>
              <w:rPr>
                <w:sz w:val="22"/>
              </w:rPr>
              <w:t>ReeM</w:t>
            </w:r>
            <w:proofErr w:type="spellEnd"/>
            <w:r>
              <w:rPr>
                <w:sz w:val="22"/>
              </w:rPr>
              <w:t xml:space="preserve"> som innebærer at </w:t>
            </w:r>
            <w:proofErr w:type="spellStart"/>
            <w:r>
              <w:rPr>
                <w:sz w:val="22"/>
              </w:rPr>
              <w:t>ReeM</w:t>
            </w:r>
            <w:proofErr w:type="spellEnd"/>
            <w:r>
              <w:rPr>
                <w:sz w:val="22"/>
              </w:rPr>
              <w:t xml:space="preserve"> skulle levere 75 000 aksjer mot at NF innbetalte 12 </w:t>
            </w:r>
            <w:r>
              <w:rPr>
                <w:sz w:val="22"/>
              </w:rPr>
              <w:lastRenderedPageBreak/>
              <w:t>millioner kroner.</w:t>
            </w:r>
          </w:p>
        </w:tc>
      </w:tr>
    </w:tbl>
    <w:p w14:paraId="653F1797" w14:textId="77777777" w:rsidR="00481BC9" w:rsidRDefault="00481BC9">
      <w:pPr>
        <w:rPr>
          <w:sz w:val="6"/>
        </w:rPr>
      </w:pPr>
    </w:p>
    <w:p w14:paraId="4078EA26"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7D93FF94" w14:textId="77777777">
        <w:tc>
          <w:tcPr>
            <w:tcW w:w="720" w:type="dxa"/>
            <w:noWrap/>
            <w:tcMar>
              <w:right w:w="80" w:type="dxa"/>
            </w:tcMar>
          </w:tcPr>
          <w:p w14:paraId="79BB9C07" w14:textId="77777777" w:rsidR="00481BC9" w:rsidRDefault="00186AF9">
            <w:pPr>
              <w:rPr>
                <w:sz w:val="22"/>
              </w:rPr>
            </w:pPr>
            <w:r>
              <w:rPr>
                <w:sz w:val="22"/>
              </w:rPr>
              <w:t>(44)</w:t>
            </w:r>
          </w:p>
        </w:tc>
        <w:tc>
          <w:tcPr>
            <w:tcW w:w="0" w:type="auto"/>
            <w:tcMar>
              <w:right w:w="80" w:type="dxa"/>
            </w:tcMar>
          </w:tcPr>
          <w:p w14:paraId="2D5DABC9" w14:textId="77777777" w:rsidR="00481BC9" w:rsidRDefault="00186AF9">
            <w:pPr>
              <w:rPr>
                <w:sz w:val="22"/>
              </w:rPr>
            </w:pPr>
            <w:r>
              <w:rPr>
                <w:sz w:val="22"/>
              </w:rPr>
              <w:t xml:space="preserve">Spørsmålet blir dermed om </w:t>
            </w:r>
            <w:hyperlink r:id="rId25" w:anchor="reference/lov/1997-06-13-44/§10-9" w:history="1">
              <w:r>
                <w:rPr>
                  <w:sz w:val="22"/>
                </w:rPr>
                <w:t>aksjeloven § 10-9</w:t>
              </w:r>
            </w:hyperlink>
            <w:r>
              <w:rPr>
                <w:sz w:val="22"/>
              </w:rPr>
              <w:t xml:space="preserve"> tredje ledd innebærer at </w:t>
            </w:r>
            <w:proofErr w:type="spellStart"/>
            <w:r>
              <w:rPr>
                <w:sz w:val="22"/>
              </w:rPr>
              <w:t>NFs</w:t>
            </w:r>
            <w:proofErr w:type="spellEnd"/>
            <w:r>
              <w:rPr>
                <w:sz w:val="22"/>
              </w:rPr>
              <w:t xml:space="preserve"> plikt til å betale aksjeinnskuddet bortfalt ved utløpet av tremånedersfristen for å melde kapitalforhøyelsen til Foretaksregisteret.</w:t>
            </w:r>
          </w:p>
        </w:tc>
      </w:tr>
    </w:tbl>
    <w:p w14:paraId="31C0CE7F" w14:textId="77777777" w:rsidR="00481BC9" w:rsidRDefault="00481BC9">
      <w:pPr>
        <w:rPr>
          <w:sz w:val="6"/>
        </w:rPr>
      </w:pPr>
    </w:p>
    <w:p w14:paraId="4CBEB02F"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59AF8E65" w14:textId="77777777">
        <w:tc>
          <w:tcPr>
            <w:tcW w:w="720" w:type="dxa"/>
            <w:noWrap/>
            <w:tcMar>
              <w:right w:w="80" w:type="dxa"/>
            </w:tcMar>
          </w:tcPr>
          <w:p w14:paraId="4A79D0F1" w14:textId="77777777" w:rsidR="00481BC9" w:rsidRDefault="00186AF9">
            <w:pPr>
              <w:rPr>
                <w:sz w:val="22"/>
              </w:rPr>
            </w:pPr>
            <w:r>
              <w:rPr>
                <w:sz w:val="22"/>
              </w:rPr>
              <w:t>(45)</w:t>
            </w:r>
          </w:p>
        </w:tc>
        <w:tc>
          <w:tcPr>
            <w:tcW w:w="0" w:type="auto"/>
            <w:tcMar>
              <w:right w:w="80" w:type="dxa"/>
            </w:tcMar>
          </w:tcPr>
          <w:p w14:paraId="3E518D89" w14:textId="77777777" w:rsidR="00481BC9" w:rsidRDefault="00186AF9">
            <w:pPr>
              <w:rPr>
                <w:sz w:val="22"/>
              </w:rPr>
            </w:pPr>
            <w:r>
              <w:rPr>
                <w:sz w:val="22"/>
              </w:rPr>
              <w:t xml:space="preserve">I bestemmelsens tredje ledd heter det at tegningene «ikke lenger [er] bindende» dersom fristen ikke overholdes. Etter en naturlig forståelse av ordlyden er det nærliggende å anse </w:t>
            </w:r>
            <w:proofErr w:type="spellStart"/>
            <w:r>
              <w:rPr>
                <w:sz w:val="22"/>
              </w:rPr>
              <w:t>NFs</w:t>
            </w:r>
            <w:proofErr w:type="spellEnd"/>
            <w:r>
              <w:rPr>
                <w:sz w:val="22"/>
              </w:rPr>
              <w:t xml:space="preserve"> betalingsforpliktelse som bortfalt. Ordlyden kan likevel, slik jeg ser det, ikke være avgjørende.</w:t>
            </w:r>
          </w:p>
        </w:tc>
      </w:tr>
    </w:tbl>
    <w:p w14:paraId="3EF6996D" w14:textId="77777777" w:rsidR="00481BC9" w:rsidRDefault="00481BC9">
      <w:pPr>
        <w:rPr>
          <w:sz w:val="6"/>
        </w:rPr>
      </w:pPr>
    </w:p>
    <w:p w14:paraId="1568B12F"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73640DAD" w14:textId="77777777">
        <w:tc>
          <w:tcPr>
            <w:tcW w:w="720" w:type="dxa"/>
            <w:noWrap/>
            <w:tcMar>
              <w:right w:w="80" w:type="dxa"/>
            </w:tcMar>
          </w:tcPr>
          <w:p w14:paraId="6C620F98" w14:textId="77777777" w:rsidR="00481BC9" w:rsidRDefault="00186AF9">
            <w:pPr>
              <w:rPr>
                <w:sz w:val="22"/>
              </w:rPr>
            </w:pPr>
            <w:r>
              <w:rPr>
                <w:sz w:val="22"/>
              </w:rPr>
              <w:t>(46)</w:t>
            </w:r>
          </w:p>
        </w:tc>
        <w:tc>
          <w:tcPr>
            <w:tcW w:w="0" w:type="auto"/>
            <w:tcMar>
              <w:right w:w="80" w:type="dxa"/>
            </w:tcMar>
          </w:tcPr>
          <w:p w14:paraId="08FD2AEA" w14:textId="77777777" w:rsidR="00481BC9" w:rsidRDefault="00186AF9">
            <w:pPr>
              <w:rPr>
                <w:sz w:val="22"/>
              </w:rPr>
            </w:pPr>
            <w:r>
              <w:rPr>
                <w:sz w:val="22"/>
              </w:rPr>
              <w:t xml:space="preserve">Som jeg har redegjort for, kan en aksjetegning etablere grunnlaget for et gjensidig forpliktende rettsforhold mellom selskap og aksjetegner. Etter mitt syn er det ikke nødvendigvis slik at rettsvirkningene av den avtalerettslige og selskapsrettslige regulering i enhver situasjon blir den samme. Men i de tilfellene der de selskapsrettslige regler avviker fra avtalerettslige prinsipper, er dette typisk begrunnet i de særlige hensyn som gjør seg gjeldende i selskapsforhold, </w:t>
            </w:r>
            <w:proofErr w:type="spellStart"/>
            <w:r>
              <w:rPr>
                <w:sz w:val="22"/>
              </w:rPr>
              <w:t>jf.eksempelvis</w:t>
            </w:r>
            <w:proofErr w:type="spellEnd"/>
            <w:r>
              <w:rPr>
                <w:sz w:val="22"/>
              </w:rPr>
              <w:t xml:space="preserve"> </w:t>
            </w:r>
            <w:hyperlink r:id="rId26" w:anchor="reference/lov/1997-06-13-44/§10-7" w:history="1">
              <w:r>
                <w:rPr>
                  <w:sz w:val="22"/>
                </w:rPr>
                <w:t>aksjeloven § 10-7</w:t>
              </w:r>
            </w:hyperlink>
            <w:r>
              <w:rPr>
                <w:sz w:val="22"/>
              </w:rPr>
              <w:t xml:space="preserve"> tredje ledd, jf. </w:t>
            </w:r>
            <w:hyperlink r:id="rId27" w:anchor="reference/lov/1997-06-13-44/§2-10" w:history="1">
              <w:r>
                <w:rPr>
                  <w:sz w:val="22"/>
                </w:rPr>
                <w:t>§ 2-10</w:t>
              </w:r>
            </w:hyperlink>
            <w:r>
              <w:rPr>
                <w:sz w:val="22"/>
              </w:rPr>
              <w:t xml:space="preserve"> der det fremgår at de svake ugyldighetsgrunnene ikke kan gjøres gjeldende etter at kapitalutvidelsen er registrert. Regelen er ment å ivareta hensynet til de andre tegnerne og selskapets kreditorer.</w:t>
            </w:r>
          </w:p>
        </w:tc>
      </w:tr>
    </w:tbl>
    <w:p w14:paraId="606D884D" w14:textId="77777777" w:rsidR="00481BC9" w:rsidRDefault="00481BC9">
      <w:pPr>
        <w:rPr>
          <w:sz w:val="6"/>
        </w:rPr>
      </w:pPr>
    </w:p>
    <w:p w14:paraId="6512E5E3"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36F2BD3A" w14:textId="77777777">
        <w:tc>
          <w:tcPr>
            <w:tcW w:w="720" w:type="dxa"/>
            <w:noWrap/>
            <w:tcMar>
              <w:right w:w="80" w:type="dxa"/>
            </w:tcMar>
          </w:tcPr>
          <w:p w14:paraId="210A0F3B" w14:textId="77777777" w:rsidR="00481BC9" w:rsidRDefault="00186AF9">
            <w:pPr>
              <w:rPr>
                <w:sz w:val="22"/>
              </w:rPr>
            </w:pPr>
            <w:r>
              <w:rPr>
                <w:sz w:val="22"/>
              </w:rPr>
              <w:t>(47)</w:t>
            </w:r>
          </w:p>
        </w:tc>
        <w:tc>
          <w:tcPr>
            <w:tcW w:w="0" w:type="auto"/>
            <w:tcMar>
              <w:right w:w="80" w:type="dxa"/>
            </w:tcMar>
          </w:tcPr>
          <w:p w14:paraId="19F71524" w14:textId="77777777" w:rsidR="00481BC9" w:rsidRDefault="00186AF9">
            <w:pPr>
              <w:rPr>
                <w:sz w:val="22"/>
              </w:rPr>
            </w:pPr>
            <w:r>
              <w:rPr>
                <w:sz w:val="22"/>
              </w:rPr>
              <w:t xml:space="preserve">En avtalepart kan imidlertid ikke hevde seg ubundet på grunnlag av alminnelige regler om ugyldighet og mislighold, når det er </w:t>
            </w:r>
            <w:r>
              <w:rPr>
                <w:i/>
                <w:sz w:val="22"/>
              </w:rPr>
              <w:t>hans eget forhold</w:t>
            </w:r>
            <w:r>
              <w:rPr>
                <w:sz w:val="22"/>
              </w:rPr>
              <w:t xml:space="preserve"> som er grunnen til ugyldigheten eller misligholdet, og jeg kan ikke se at det gjør seg gjeldende særlige hensyn knyttet til selskapsforholdet som skulle tilsi at løsningen der må bli en annen.</w:t>
            </w:r>
          </w:p>
        </w:tc>
      </w:tr>
    </w:tbl>
    <w:p w14:paraId="195227EC" w14:textId="77777777" w:rsidR="00481BC9" w:rsidRDefault="00481BC9">
      <w:pPr>
        <w:rPr>
          <w:sz w:val="6"/>
        </w:rPr>
      </w:pPr>
    </w:p>
    <w:p w14:paraId="7FD25801"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046FB3C1" w14:textId="77777777">
        <w:tc>
          <w:tcPr>
            <w:tcW w:w="720" w:type="dxa"/>
            <w:noWrap/>
            <w:tcMar>
              <w:right w:w="80" w:type="dxa"/>
            </w:tcMar>
          </w:tcPr>
          <w:p w14:paraId="4387254F" w14:textId="77777777" w:rsidR="00481BC9" w:rsidRDefault="00186AF9">
            <w:pPr>
              <w:rPr>
                <w:sz w:val="22"/>
              </w:rPr>
            </w:pPr>
            <w:r>
              <w:rPr>
                <w:sz w:val="22"/>
              </w:rPr>
              <w:t>(48)</w:t>
            </w:r>
          </w:p>
        </w:tc>
        <w:tc>
          <w:tcPr>
            <w:tcW w:w="0" w:type="auto"/>
            <w:tcMar>
              <w:right w:w="80" w:type="dxa"/>
            </w:tcMar>
          </w:tcPr>
          <w:p w14:paraId="32AF26C9" w14:textId="77777777" w:rsidR="00481BC9" w:rsidRDefault="00186AF9">
            <w:pPr>
              <w:rPr>
                <w:sz w:val="22"/>
              </w:rPr>
            </w:pPr>
            <w:r>
              <w:rPr>
                <w:sz w:val="22"/>
              </w:rPr>
              <w:t xml:space="preserve">Unnlatt registrering gjør at selskapet ikke kan levere aksjene, og forsinket gjennomføring av kapitalutvidelsen representerer i utgangspunktet et mislighold fra selskapets side. Aksjeloven 1976 regulerte bare konsekvensen av manglende registrering i forbindelse med stiftelse. Det var vanlig å forstå </w:t>
            </w:r>
            <w:hyperlink r:id="rId28" w:anchor="reference/lov/1976-06-04-59/§4-7" w:history="1">
              <w:r>
                <w:rPr>
                  <w:sz w:val="22"/>
                </w:rPr>
                <w:t>aksjeloven 1976 § 4-7</w:t>
              </w:r>
            </w:hyperlink>
            <w:r>
              <w:rPr>
                <w:sz w:val="22"/>
              </w:rPr>
              <w:t xml:space="preserve"> – forløperen til bestemmelsen i någjeldende </w:t>
            </w:r>
            <w:hyperlink r:id="rId29" w:anchor="reference/lov/1997-06-13-44/§10-9" w:history="1">
              <w:r>
                <w:rPr>
                  <w:sz w:val="22"/>
                </w:rPr>
                <w:t>§ 10-9</w:t>
              </w:r>
            </w:hyperlink>
            <w:r>
              <w:rPr>
                <w:sz w:val="22"/>
              </w:rPr>
              <w:t xml:space="preserve"> – dithen at oversittelse av seksmånedersfristen for registrering, ikke forhindret registrering senere. Men dersom selskapet ikke sørget for registrering innen rimelig tid, var det antatt at tegneren kunne få rett til å heve avtalen på grunnlag av alminnelige kontraktsrettslige prinsipper, jf. Aarbakke i </w:t>
            </w:r>
            <w:hyperlink r:id="rId30" w:anchor="reference/litteratur/tfr-1989-333" w:history="1">
              <w:proofErr w:type="spellStart"/>
              <w:r>
                <w:rPr>
                  <w:sz w:val="22"/>
                </w:rPr>
                <w:t>TfR</w:t>
              </w:r>
              <w:proofErr w:type="spellEnd"/>
              <w:r>
                <w:rPr>
                  <w:sz w:val="22"/>
                </w:rPr>
                <w:t xml:space="preserve"> 1989 side 333-358</w:t>
              </w:r>
            </w:hyperlink>
            <w:r>
              <w:rPr>
                <w:sz w:val="22"/>
              </w:rPr>
              <w:t xml:space="preserve"> på side 353.</w:t>
            </w:r>
          </w:p>
        </w:tc>
      </w:tr>
    </w:tbl>
    <w:p w14:paraId="4C4FB892" w14:textId="77777777" w:rsidR="00481BC9" w:rsidRDefault="00481BC9">
      <w:pPr>
        <w:rPr>
          <w:sz w:val="6"/>
        </w:rPr>
      </w:pPr>
    </w:p>
    <w:p w14:paraId="2968A17E"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1ADC2237" w14:textId="77777777">
        <w:tc>
          <w:tcPr>
            <w:tcW w:w="720" w:type="dxa"/>
            <w:noWrap/>
            <w:tcMar>
              <w:right w:w="80" w:type="dxa"/>
            </w:tcMar>
          </w:tcPr>
          <w:p w14:paraId="2E081A31" w14:textId="77777777" w:rsidR="00481BC9" w:rsidRDefault="00186AF9">
            <w:pPr>
              <w:rPr>
                <w:sz w:val="22"/>
              </w:rPr>
            </w:pPr>
            <w:r>
              <w:rPr>
                <w:sz w:val="22"/>
              </w:rPr>
              <w:t>(49)</w:t>
            </w:r>
          </w:p>
        </w:tc>
        <w:tc>
          <w:tcPr>
            <w:tcW w:w="0" w:type="auto"/>
            <w:tcMar>
              <w:right w:w="80" w:type="dxa"/>
            </w:tcMar>
          </w:tcPr>
          <w:p w14:paraId="07E1A538" w14:textId="77777777" w:rsidR="00481BC9" w:rsidRDefault="00186AF9">
            <w:pPr>
              <w:rPr>
                <w:sz w:val="6"/>
              </w:rPr>
            </w:pPr>
            <w:r>
              <w:rPr>
                <w:sz w:val="22"/>
              </w:rPr>
              <w:t xml:space="preserve">Konsekvensen av oversittelse av fristen for registrering er nå, som det har fremgått, uttrykkelig regulert i </w:t>
            </w:r>
            <w:hyperlink r:id="rId31" w:anchor="reference/lov/1997-06-13-44/§10-9" w:history="1">
              <w:r>
                <w:rPr>
                  <w:sz w:val="22"/>
                </w:rPr>
                <w:t>aksjeloven § 10-9</w:t>
              </w:r>
            </w:hyperlink>
            <w:r>
              <w:rPr>
                <w:sz w:val="22"/>
              </w:rPr>
              <w:t xml:space="preserve"> tredje ledd. Om lovendringen heter det i </w:t>
            </w:r>
            <w:hyperlink r:id="rId32" w:anchor="reference/forarbeid/otprp-23-199697/s160" w:history="1">
              <w:r>
                <w:rPr>
                  <w:sz w:val="22"/>
                </w:rPr>
                <w:t>Ot.prp.nr.23 (1996–1997) på side 160</w:t>
              </w:r>
            </w:hyperlink>
            <w:r>
              <w:rPr>
                <w:sz w:val="22"/>
              </w:rPr>
              <w:t>:</w:t>
            </w:r>
          </w:p>
          <w:p w14:paraId="768BF988" w14:textId="77777777" w:rsidR="00481BC9" w:rsidRDefault="00186AF9">
            <w:pPr>
              <w:spacing w:before="120"/>
              <w:ind w:left="1080"/>
              <w:rPr>
                <w:sz w:val="6"/>
              </w:rPr>
            </w:pPr>
            <w:r>
              <w:rPr>
                <w:sz w:val="22"/>
              </w:rPr>
              <w:t>«Til bestemmelsens tredje ledd uttaler Brønnøysundregistrene:</w:t>
            </w:r>
          </w:p>
          <w:p w14:paraId="72F0CC57" w14:textId="77777777" w:rsidR="00481BC9" w:rsidRDefault="00186AF9">
            <w:pPr>
              <w:spacing w:before="120"/>
              <w:ind w:left="1080"/>
              <w:rPr>
                <w:sz w:val="22"/>
              </w:rPr>
            </w:pPr>
            <w:r>
              <w:rPr>
                <w:sz w:val="22"/>
              </w:rPr>
              <w:t xml:space="preserve">'Bestemmelsen regulerer oversittelse av fristen i første ledd. Utvalget har lagt til grunn at bestemmelsen </w:t>
            </w:r>
            <w:proofErr w:type="spellStart"/>
            <w:r>
              <w:rPr>
                <w:sz w:val="22"/>
              </w:rPr>
              <w:t>hovedsaklig</w:t>
            </w:r>
            <w:proofErr w:type="spellEnd"/>
            <w:r>
              <w:rPr>
                <w:sz w:val="22"/>
              </w:rPr>
              <w:t xml:space="preserve"> er en videreføring av gjeldende aksjelov. Vi mener dette ikke er riktig da gjeldende aksjelov </w:t>
            </w:r>
            <w:hyperlink r:id="rId33" w:anchor="reference/lov/1976-06-04-59/§4-7" w:history="1">
              <w:r>
                <w:rPr>
                  <w:sz w:val="22"/>
                </w:rPr>
                <w:t>§ 4-7</w:t>
              </w:r>
            </w:hyperlink>
            <w:r>
              <w:rPr>
                <w:sz w:val="22"/>
              </w:rPr>
              <w:t xml:space="preserve"> annet ledd mer betraktes som en ordensforskrift uten konsekvenser om bortfall av aksjetegningen. I den forbindelse viser vi blant annet til kommentarutgavene til aksjeloven av Marthinussen/Aarbakke og Skåre/Knudsen. Slik har også Foretaksregisteret praktisert bestemmelsen siden 1988. Vi mener det her dreier seg om en ny regel. Innholdsmessig støtter vi innføringen av bestemmelsen da vi antar at den vil medføre en kvalitetsheving av opplysningene i Foretaksregisteret og et supplement til foretaksregisterlov</w:t>
            </w:r>
            <w:r>
              <w:rPr>
                <w:sz w:val="22"/>
              </w:rPr>
              <w:t>en § 4-1.'»</w:t>
            </w:r>
          </w:p>
        </w:tc>
      </w:tr>
    </w:tbl>
    <w:p w14:paraId="0A194E28" w14:textId="77777777" w:rsidR="00481BC9" w:rsidRDefault="00481BC9">
      <w:pPr>
        <w:rPr>
          <w:sz w:val="6"/>
        </w:rPr>
      </w:pPr>
    </w:p>
    <w:p w14:paraId="07D81486"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1C154581" w14:textId="77777777">
        <w:tc>
          <w:tcPr>
            <w:tcW w:w="720" w:type="dxa"/>
            <w:noWrap/>
            <w:tcMar>
              <w:right w:w="80" w:type="dxa"/>
            </w:tcMar>
          </w:tcPr>
          <w:p w14:paraId="079810CE" w14:textId="77777777" w:rsidR="00481BC9" w:rsidRDefault="00186AF9">
            <w:pPr>
              <w:rPr>
                <w:sz w:val="22"/>
              </w:rPr>
            </w:pPr>
            <w:r>
              <w:rPr>
                <w:sz w:val="22"/>
              </w:rPr>
              <w:t>(50)</w:t>
            </w:r>
          </w:p>
        </w:tc>
        <w:tc>
          <w:tcPr>
            <w:tcW w:w="0" w:type="auto"/>
            <w:tcMar>
              <w:right w:w="80" w:type="dxa"/>
            </w:tcMar>
          </w:tcPr>
          <w:p w14:paraId="6FC9642F" w14:textId="77777777" w:rsidR="00481BC9" w:rsidRDefault="00186AF9">
            <w:pPr>
              <w:rPr>
                <w:sz w:val="22"/>
              </w:rPr>
            </w:pPr>
            <w:r>
              <w:rPr>
                <w:sz w:val="22"/>
              </w:rPr>
              <w:t>Både tingretten og lagmannsretten har tatt Foretaksregisterets høringsuttalelse til inntekt for sitt syn, og NF gjør gjeldende at sitatet viser at lovgiver har tatt et bevisst valg om bortfall av både tegning og innskuddsforpliktelse dersom kapitalutvidelsen ikke blir registrert innen fristen.</w:t>
            </w:r>
          </w:p>
        </w:tc>
      </w:tr>
    </w:tbl>
    <w:p w14:paraId="77182506" w14:textId="77777777" w:rsidR="00481BC9" w:rsidRDefault="00481BC9">
      <w:pPr>
        <w:rPr>
          <w:sz w:val="6"/>
        </w:rPr>
      </w:pPr>
    </w:p>
    <w:p w14:paraId="74515C1A"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7225F103" w14:textId="77777777">
        <w:tc>
          <w:tcPr>
            <w:tcW w:w="720" w:type="dxa"/>
            <w:noWrap/>
            <w:tcMar>
              <w:right w:w="80" w:type="dxa"/>
            </w:tcMar>
          </w:tcPr>
          <w:p w14:paraId="70473446" w14:textId="77777777" w:rsidR="00481BC9" w:rsidRDefault="00186AF9">
            <w:pPr>
              <w:rPr>
                <w:sz w:val="22"/>
              </w:rPr>
            </w:pPr>
            <w:r>
              <w:rPr>
                <w:sz w:val="22"/>
              </w:rPr>
              <w:t>(51)</w:t>
            </w:r>
          </w:p>
        </w:tc>
        <w:tc>
          <w:tcPr>
            <w:tcW w:w="0" w:type="auto"/>
            <w:tcMar>
              <w:right w:w="80" w:type="dxa"/>
            </w:tcMar>
          </w:tcPr>
          <w:p w14:paraId="76AD51BF" w14:textId="77777777" w:rsidR="00481BC9" w:rsidRDefault="00186AF9">
            <w:pPr>
              <w:rPr>
                <w:sz w:val="22"/>
              </w:rPr>
            </w:pPr>
            <w:r>
              <w:rPr>
                <w:sz w:val="22"/>
              </w:rPr>
              <w:t xml:space="preserve">Jeg er ikke enig i dette. Etter mitt syn må uttalelsen leses i lys av hva som var </w:t>
            </w:r>
            <w:r>
              <w:rPr>
                <w:sz w:val="22"/>
              </w:rPr>
              <w:t xml:space="preserve">rettstilstanden etter aksjeloven 1976. Dette innebærer at tegningen ikke lenger er bindende dersom oversittelse av </w:t>
            </w:r>
            <w:r>
              <w:rPr>
                <w:sz w:val="22"/>
              </w:rPr>
              <w:lastRenderedPageBreak/>
              <w:t>meldefristen skyldes selskapets eller øvrige tegneres forhold. Men jeg kan ikke se at lovgiver ved å referere denne høringsuttalelsen, har ment å ta stilling til den situasjonen som oppstår når det er tegnerens eget forhold som har forårsaket fristoversittelsen. Denne problemstillingen er ikke berørt. Dersom lovgiver hadde ment å fravike et så grunnleggende kontraktsrettslig prinsipp, og innfør</w:t>
            </w:r>
            <w:r>
              <w:rPr>
                <w:sz w:val="22"/>
              </w:rPr>
              <w:t>e en regel om at en part kunne fri seg fra egen avtaleforpliktelse ved selv å misligholde denne, så måtte dette klart ha fremgått.</w:t>
            </w:r>
          </w:p>
        </w:tc>
      </w:tr>
    </w:tbl>
    <w:p w14:paraId="349BFE32" w14:textId="77777777" w:rsidR="00481BC9" w:rsidRDefault="00481BC9">
      <w:pPr>
        <w:rPr>
          <w:sz w:val="6"/>
        </w:rPr>
      </w:pPr>
    </w:p>
    <w:p w14:paraId="5F73929D"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58637ADF" w14:textId="77777777">
        <w:tc>
          <w:tcPr>
            <w:tcW w:w="720" w:type="dxa"/>
            <w:noWrap/>
            <w:tcMar>
              <w:right w:w="80" w:type="dxa"/>
            </w:tcMar>
          </w:tcPr>
          <w:p w14:paraId="6FCC71B1" w14:textId="77777777" w:rsidR="00481BC9" w:rsidRDefault="00186AF9">
            <w:pPr>
              <w:rPr>
                <w:sz w:val="22"/>
              </w:rPr>
            </w:pPr>
            <w:r>
              <w:rPr>
                <w:sz w:val="22"/>
              </w:rPr>
              <w:t>(52)</w:t>
            </w:r>
          </w:p>
        </w:tc>
        <w:tc>
          <w:tcPr>
            <w:tcW w:w="0" w:type="auto"/>
            <w:tcMar>
              <w:right w:w="80" w:type="dxa"/>
            </w:tcMar>
          </w:tcPr>
          <w:p w14:paraId="11327948" w14:textId="77777777" w:rsidR="00481BC9" w:rsidRDefault="00186AF9">
            <w:pPr>
              <w:rPr>
                <w:sz w:val="22"/>
              </w:rPr>
            </w:pPr>
            <w:r>
              <w:rPr>
                <w:sz w:val="22"/>
              </w:rPr>
              <w:t>En regel om at mislighold av egen betalingsforpliktelse skulle kunne føre til at forpliktelsen faller bort, ville dessuten samsvare dårlig med prinsippet om objektivt ansvar for egen pengemangel.</w:t>
            </w:r>
          </w:p>
        </w:tc>
      </w:tr>
    </w:tbl>
    <w:p w14:paraId="7B6DB44B" w14:textId="77777777" w:rsidR="00481BC9" w:rsidRDefault="00481BC9">
      <w:pPr>
        <w:rPr>
          <w:sz w:val="6"/>
        </w:rPr>
      </w:pPr>
    </w:p>
    <w:p w14:paraId="3AAAA80B"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4FEF3694" w14:textId="77777777">
        <w:tc>
          <w:tcPr>
            <w:tcW w:w="720" w:type="dxa"/>
            <w:noWrap/>
            <w:tcMar>
              <w:right w:w="80" w:type="dxa"/>
            </w:tcMar>
          </w:tcPr>
          <w:p w14:paraId="3FFD7F25" w14:textId="77777777" w:rsidR="00481BC9" w:rsidRDefault="00186AF9">
            <w:pPr>
              <w:rPr>
                <w:sz w:val="22"/>
              </w:rPr>
            </w:pPr>
            <w:r>
              <w:rPr>
                <w:sz w:val="22"/>
              </w:rPr>
              <w:t>(53)</w:t>
            </w:r>
          </w:p>
        </w:tc>
        <w:tc>
          <w:tcPr>
            <w:tcW w:w="0" w:type="auto"/>
            <w:tcMar>
              <w:right w:w="80" w:type="dxa"/>
            </w:tcMar>
          </w:tcPr>
          <w:p w14:paraId="7B037D6A" w14:textId="77777777" w:rsidR="00481BC9" w:rsidRDefault="00186AF9">
            <w:pPr>
              <w:rPr>
                <w:sz w:val="22"/>
              </w:rPr>
            </w:pPr>
            <w:r>
              <w:rPr>
                <w:sz w:val="22"/>
              </w:rPr>
              <w:t xml:space="preserve">Jeg viser videre til at det i selskapsrettslig teori foreligger uttalelser som gir støtte for oppfatningen om at aksjetegners betalingsplikt i slike tilfeller ikke kan anses bortfalt, jf. Aarbakke mfl., Aksjeloven og allmennaksjeloven, Lovkommentar, 4. utgave 2017 side 704 og Andenæs, Aksjeselskaper og </w:t>
            </w:r>
            <w:proofErr w:type="spellStart"/>
            <w:r>
              <w:rPr>
                <w:sz w:val="22"/>
              </w:rPr>
              <w:t>allmennaksjeselskaper</w:t>
            </w:r>
            <w:proofErr w:type="spellEnd"/>
            <w:r>
              <w:rPr>
                <w:sz w:val="22"/>
              </w:rPr>
              <w:t>, 3. utgave 2016 side 115.</w:t>
            </w:r>
          </w:p>
        </w:tc>
      </w:tr>
    </w:tbl>
    <w:p w14:paraId="270DBB56" w14:textId="77777777" w:rsidR="00481BC9" w:rsidRDefault="00481BC9">
      <w:pPr>
        <w:rPr>
          <w:sz w:val="6"/>
        </w:rPr>
      </w:pPr>
    </w:p>
    <w:p w14:paraId="54D8977A"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0B2DD841" w14:textId="77777777">
        <w:tc>
          <w:tcPr>
            <w:tcW w:w="720" w:type="dxa"/>
            <w:noWrap/>
            <w:tcMar>
              <w:right w:w="80" w:type="dxa"/>
            </w:tcMar>
          </w:tcPr>
          <w:p w14:paraId="1437F6DE" w14:textId="77777777" w:rsidR="00481BC9" w:rsidRDefault="00186AF9">
            <w:pPr>
              <w:rPr>
                <w:sz w:val="22"/>
              </w:rPr>
            </w:pPr>
            <w:r>
              <w:rPr>
                <w:sz w:val="22"/>
              </w:rPr>
              <w:t>(54)</w:t>
            </w:r>
          </w:p>
        </w:tc>
        <w:tc>
          <w:tcPr>
            <w:tcW w:w="0" w:type="auto"/>
            <w:tcMar>
              <w:right w:w="80" w:type="dxa"/>
            </w:tcMar>
          </w:tcPr>
          <w:p w14:paraId="42066A6E" w14:textId="77777777" w:rsidR="00481BC9" w:rsidRDefault="00186AF9">
            <w:pPr>
              <w:rPr>
                <w:sz w:val="22"/>
              </w:rPr>
            </w:pPr>
            <w:r>
              <w:rPr>
                <w:sz w:val="22"/>
              </w:rPr>
              <w:t xml:space="preserve">Lagmannsretten har videre funnet støtte for sitt syn i Eidsivating lagmannsretts dom, inntatt i </w:t>
            </w:r>
            <w:hyperlink r:id="rId34" w:anchor="reference/avgjorelse/rg-2008-1142" w:history="1">
              <w:r>
                <w:rPr>
                  <w:sz w:val="22"/>
                </w:rPr>
                <w:t>RG-2008-1142</w:t>
              </w:r>
            </w:hyperlink>
            <w:r>
              <w:rPr>
                <w:sz w:val="22"/>
              </w:rPr>
              <w:t>, som også gjaldt unnlatt innbetaling og manglende registrering av kapitalforhøyelse. Lagmannsretten kom der til at aksjetegningene som var foretatt ikke var bindende etter utløpet av meldefristen, og at også andre forpliktelser som selskapet eller aksjetegnerne hadde etter kapitalforhøyelsen, var falt bort. I denne saken var det imidlertid tre tegnere, hvorav den ene tegneren unnlot å innbetale sitt aksjeinnskudd. Spørsmålet var om de to øvrige tegnerne, som hadde innbetalt sine innskudd, kunne kreve disse</w:t>
            </w:r>
            <w:r>
              <w:rPr>
                <w:sz w:val="22"/>
              </w:rPr>
              <w:t xml:space="preserve"> tilbakebetalt fra selskapet.</w:t>
            </w:r>
          </w:p>
        </w:tc>
      </w:tr>
    </w:tbl>
    <w:p w14:paraId="78CDE45E" w14:textId="77777777" w:rsidR="00481BC9" w:rsidRDefault="00481BC9">
      <w:pPr>
        <w:rPr>
          <w:sz w:val="6"/>
        </w:rPr>
      </w:pPr>
    </w:p>
    <w:p w14:paraId="0DBED12E"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3C494545" w14:textId="77777777">
        <w:tc>
          <w:tcPr>
            <w:tcW w:w="720" w:type="dxa"/>
            <w:noWrap/>
            <w:tcMar>
              <w:right w:w="80" w:type="dxa"/>
            </w:tcMar>
          </w:tcPr>
          <w:p w14:paraId="6C6B7BE5" w14:textId="77777777" w:rsidR="00481BC9" w:rsidRDefault="00186AF9">
            <w:pPr>
              <w:rPr>
                <w:sz w:val="22"/>
              </w:rPr>
            </w:pPr>
            <w:r>
              <w:rPr>
                <w:sz w:val="22"/>
              </w:rPr>
              <w:t>(55)</w:t>
            </w:r>
          </w:p>
        </w:tc>
        <w:tc>
          <w:tcPr>
            <w:tcW w:w="0" w:type="auto"/>
            <w:tcMar>
              <w:right w:w="80" w:type="dxa"/>
            </w:tcMar>
          </w:tcPr>
          <w:p w14:paraId="727CE425" w14:textId="77777777" w:rsidR="00481BC9" w:rsidRDefault="00186AF9">
            <w:pPr>
              <w:rPr>
                <w:sz w:val="22"/>
              </w:rPr>
            </w:pPr>
            <w:r>
              <w:rPr>
                <w:sz w:val="22"/>
              </w:rPr>
              <w:t xml:space="preserve">Dommen illustrerer at dersom den manglende registreringen skyldes forhold </w:t>
            </w:r>
            <w:r>
              <w:rPr>
                <w:i/>
                <w:sz w:val="22"/>
              </w:rPr>
              <w:t>utenfor tegnerens ansvarsområde</w:t>
            </w:r>
            <w:r>
              <w:rPr>
                <w:sz w:val="22"/>
              </w:rPr>
              <w:t xml:space="preserve">, så følger det av </w:t>
            </w:r>
            <w:hyperlink r:id="rId35" w:anchor="reference/lov/1997-06-13-44/§10-9" w:history="1">
              <w:r>
                <w:rPr>
                  <w:sz w:val="22"/>
                </w:rPr>
                <w:t>aksjeloven § 10-9</w:t>
              </w:r>
            </w:hyperlink>
            <w:r>
              <w:rPr>
                <w:sz w:val="22"/>
              </w:rPr>
              <w:t xml:space="preserve"> tredje ledd at også den avtalerettslige forpliktelsen tegneren har påtatt seg, faller bort. Dette resultatet passer for øvrig godt med det som ville blitt løsningen på grunnlag av alminnelige avtale- og kontraktsrettslige prinsipper.</w:t>
            </w:r>
          </w:p>
        </w:tc>
      </w:tr>
    </w:tbl>
    <w:p w14:paraId="61F33C36" w14:textId="77777777" w:rsidR="00481BC9" w:rsidRDefault="00481BC9">
      <w:pPr>
        <w:rPr>
          <w:sz w:val="6"/>
        </w:rPr>
      </w:pPr>
    </w:p>
    <w:p w14:paraId="4B59BCC8"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70B1850F" w14:textId="77777777">
        <w:tc>
          <w:tcPr>
            <w:tcW w:w="720" w:type="dxa"/>
            <w:noWrap/>
            <w:tcMar>
              <w:right w:w="80" w:type="dxa"/>
            </w:tcMar>
          </w:tcPr>
          <w:p w14:paraId="4CAC2457" w14:textId="77777777" w:rsidR="00481BC9" w:rsidRDefault="00186AF9">
            <w:pPr>
              <w:rPr>
                <w:sz w:val="22"/>
              </w:rPr>
            </w:pPr>
            <w:r>
              <w:rPr>
                <w:sz w:val="22"/>
              </w:rPr>
              <w:t>(56)</w:t>
            </w:r>
          </w:p>
        </w:tc>
        <w:tc>
          <w:tcPr>
            <w:tcW w:w="0" w:type="auto"/>
            <w:tcMar>
              <w:right w:w="80" w:type="dxa"/>
            </w:tcMar>
          </w:tcPr>
          <w:p w14:paraId="02FAF5BA" w14:textId="77777777" w:rsidR="00481BC9" w:rsidRDefault="00186AF9">
            <w:pPr>
              <w:rPr>
                <w:sz w:val="22"/>
              </w:rPr>
            </w:pPr>
            <w:r>
              <w:rPr>
                <w:sz w:val="22"/>
              </w:rPr>
              <w:t xml:space="preserve">Jeg viser i tillegg til at selskapet har små muligheter til å få inndrevet den manglende innbetalingen før utløpet av tremånedersfristen i </w:t>
            </w:r>
            <w:hyperlink r:id="rId36" w:anchor="reference/lov/1997-06-13-44/§10-9" w:history="1">
              <w:r>
                <w:rPr>
                  <w:sz w:val="22"/>
                </w:rPr>
                <w:t>§ 10-9</w:t>
              </w:r>
            </w:hyperlink>
            <w:r>
              <w:rPr>
                <w:sz w:val="22"/>
              </w:rPr>
              <w:t xml:space="preserve"> første ledd, jf. </w:t>
            </w:r>
            <w:hyperlink r:id="rId37" w:anchor="reference/lov/1997-06-13-44/§10-12" w:history="1">
              <w:r>
                <w:rPr>
                  <w:sz w:val="22"/>
                </w:rPr>
                <w:t>§ 10-12</w:t>
              </w:r>
            </w:hyperlink>
            <w:r>
              <w:rPr>
                <w:sz w:val="22"/>
              </w:rPr>
              <w:t xml:space="preserve"> fjerde ledd, jf. </w:t>
            </w:r>
            <w:hyperlink r:id="rId38" w:anchor="reference/lov/1997-06-13-44/§2-12" w:history="1">
              <w:r>
                <w:rPr>
                  <w:sz w:val="22"/>
                </w:rPr>
                <w:t>§ 2-12</w:t>
              </w:r>
            </w:hyperlink>
            <w:r>
              <w:rPr>
                <w:sz w:val="22"/>
              </w:rPr>
              <w:t xml:space="preserve"> til </w:t>
            </w:r>
            <w:hyperlink r:id="rId39" w:anchor="reference/lov/1997-06-13-44/§2-17" w:history="1">
              <w:r>
                <w:rPr>
                  <w:sz w:val="22"/>
                </w:rPr>
                <w:t>§ 2-17</w:t>
              </w:r>
            </w:hyperlink>
            <w:r>
              <w:rPr>
                <w:sz w:val="22"/>
              </w:rPr>
              <w:t xml:space="preserve">. Søksmål for å oppnå tvangsgrunnlag innen tremånedersfristen er det i praksis ikke mulig å få gjennomført. Manglende </w:t>
            </w:r>
            <w:r>
              <w:rPr>
                <w:sz w:val="22"/>
              </w:rPr>
              <w:t>avtalerettslig plikt til å innbetale beløpet etter utløpet av tremånedersfristen ville derfor gitt tegneren en spekulasjonsmulighet – i realiteten en opsjon.</w:t>
            </w:r>
          </w:p>
        </w:tc>
      </w:tr>
    </w:tbl>
    <w:p w14:paraId="654A7BE6" w14:textId="77777777" w:rsidR="00481BC9" w:rsidRDefault="00481BC9">
      <w:pPr>
        <w:rPr>
          <w:sz w:val="6"/>
        </w:rPr>
      </w:pPr>
    </w:p>
    <w:p w14:paraId="7580033D"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2E8F0D48" w14:textId="77777777">
        <w:tc>
          <w:tcPr>
            <w:tcW w:w="720" w:type="dxa"/>
            <w:noWrap/>
            <w:tcMar>
              <w:right w:w="80" w:type="dxa"/>
            </w:tcMar>
          </w:tcPr>
          <w:p w14:paraId="4B092F73" w14:textId="77777777" w:rsidR="00481BC9" w:rsidRDefault="00186AF9">
            <w:pPr>
              <w:rPr>
                <w:sz w:val="22"/>
              </w:rPr>
            </w:pPr>
            <w:r>
              <w:rPr>
                <w:sz w:val="22"/>
              </w:rPr>
              <w:t>(57)</w:t>
            </w:r>
          </w:p>
        </w:tc>
        <w:tc>
          <w:tcPr>
            <w:tcW w:w="0" w:type="auto"/>
            <w:tcMar>
              <w:right w:w="80" w:type="dxa"/>
            </w:tcMar>
          </w:tcPr>
          <w:p w14:paraId="3A6E2505" w14:textId="77777777" w:rsidR="00481BC9" w:rsidRDefault="00186AF9">
            <w:pPr>
              <w:rPr>
                <w:sz w:val="22"/>
              </w:rPr>
            </w:pPr>
            <w:r>
              <w:rPr>
                <w:sz w:val="22"/>
              </w:rPr>
              <w:t xml:space="preserve">Etter en samlet vurdering er jeg kommet til at </w:t>
            </w:r>
            <w:hyperlink r:id="rId40" w:anchor="reference/lov/1997-06-13-44/§10-9" w:history="1">
              <w:r>
                <w:rPr>
                  <w:sz w:val="22"/>
                </w:rPr>
                <w:t>aksjeloven § 10-9</w:t>
              </w:r>
            </w:hyperlink>
            <w:r>
              <w:rPr>
                <w:sz w:val="22"/>
              </w:rPr>
              <w:t xml:space="preserve"> tredje ledd ikke kan forstås slik at en forpliktelse til å innbetale aksjeinnskuddet faller bort ved oversittelse av meldefristen, når dette skyldes betalingsmislighold på tegnerens side. Når lagmannsretten er kommet til at det ikke var grunnlag for fortsatt betalingsplikt på grunnlag av tegningsavtalen etter utløpet av tremånedersfristen, bygger dette på uriktig rettsanvendelse.</w:t>
            </w:r>
          </w:p>
        </w:tc>
      </w:tr>
    </w:tbl>
    <w:p w14:paraId="40FD3C2D" w14:textId="77777777" w:rsidR="00481BC9" w:rsidRDefault="00481BC9">
      <w:pPr>
        <w:rPr>
          <w:sz w:val="6"/>
        </w:rPr>
      </w:pPr>
    </w:p>
    <w:p w14:paraId="4DFA6CF4"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4FC75843" w14:textId="77777777">
        <w:tc>
          <w:tcPr>
            <w:tcW w:w="720" w:type="dxa"/>
            <w:noWrap/>
            <w:tcMar>
              <w:right w:w="80" w:type="dxa"/>
            </w:tcMar>
          </w:tcPr>
          <w:p w14:paraId="1B32A7FB" w14:textId="77777777" w:rsidR="00481BC9" w:rsidRDefault="00186AF9">
            <w:pPr>
              <w:rPr>
                <w:sz w:val="22"/>
              </w:rPr>
            </w:pPr>
            <w:r>
              <w:rPr>
                <w:sz w:val="22"/>
              </w:rPr>
              <w:t>(58)</w:t>
            </w:r>
          </w:p>
        </w:tc>
        <w:tc>
          <w:tcPr>
            <w:tcW w:w="0" w:type="auto"/>
            <w:tcMar>
              <w:right w:w="80" w:type="dxa"/>
            </w:tcMar>
          </w:tcPr>
          <w:p w14:paraId="01630BC6" w14:textId="77777777" w:rsidR="00481BC9" w:rsidRDefault="00186AF9">
            <w:pPr>
              <w:rPr>
                <w:sz w:val="22"/>
              </w:rPr>
            </w:pPr>
            <w:proofErr w:type="spellStart"/>
            <w:r>
              <w:rPr>
                <w:sz w:val="22"/>
              </w:rPr>
              <w:t>ReeM</w:t>
            </w:r>
            <w:proofErr w:type="spellEnd"/>
            <w:r>
              <w:rPr>
                <w:sz w:val="22"/>
              </w:rPr>
              <w:t xml:space="preserve"> har i anken til Høyesterett nedlagt påstand om naturaloppfyllelse av avtalen. Høyesterett har imidlertid ikke tatt stilling til om aksjetegningen er ugyldig på grunn av misvisende eller villedende informasjon om selskapet forut for tegningen, jf. </w:t>
            </w:r>
            <w:hyperlink r:id="rId41" w:anchor="reference/lov/2005-06-17-90/§30-14" w:history="1">
              <w:r>
                <w:rPr>
                  <w:sz w:val="22"/>
                </w:rPr>
                <w:t>tvisteloven § 30-14</w:t>
              </w:r>
            </w:hyperlink>
            <w:r>
              <w:rPr>
                <w:sz w:val="22"/>
              </w:rPr>
              <w:t xml:space="preserve"> tredje ledd, og det kan derfor ikke avsies dom for realiteten.</w:t>
            </w:r>
          </w:p>
        </w:tc>
      </w:tr>
    </w:tbl>
    <w:p w14:paraId="2D91D80F" w14:textId="77777777" w:rsidR="00481BC9" w:rsidRDefault="00481BC9">
      <w:pPr>
        <w:rPr>
          <w:sz w:val="6"/>
        </w:rPr>
      </w:pPr>
    </w:p>
    <w:p w14:paraId="4F1A94F6"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7CCD3BFA" w14:textId="77777777">
        <w:tc>
          <w:tcPr>
            <w:tcW w:w="720" w:type="dxa"/>
            <w:noWrap/>
            <w:tcMar>
              <w:right w:w="80" w:type="dxa"/>
            </w:tcMar>
          </w:tcPr>
          <w:p w14:paraId="49D16F38" w14:textId="77777777" w:rsidR="00481BC9" w:rsidRDefault="00186AF9">
            <w:pPr>
              <w:rPr>
                <w:sz w:val="22"/>
              </w:rPr>
            </w:pPr>
            <w:r>
              <w:rPr>
                <w:sz w:val="22"/>
              </w:rPr>
              <w:t>(59)</w:t>
            </w:r>
          </w:p>
        </w:tc>
        <w:tc>
          <w:tcPr>
            <w:tcW w:w="0" w:type="auto"/>
            <w:tcMar>
              <w:right w:w="80" w:type="dxa"/>
            </w:tcMar>
          </w:tcPr>
          <w:p w14:paraId="02A4869F" w14:textId="77777777" w:rsidR="00481BC9" w:rsidRDefault="00186AF9">
            <w:pPr>
              <w:rPr>
                <w:sz w:val="22"/>
              </w:rPr>
            </w:pPr>
            <w:r>
              <w:rPr>
                <w:sz w:val="22"/>
              </w:rPr>
              <w:t xml:space="preserve">Under forutsetning av at lagmannsretten ved den videre behandling av saken kommer til at </w:t>
            </w:r>
            <w:r>
              <w:rPr>
                <w:sz w:val="22"/>
              </w:rPr>
              <w:t xml:space="preserve">den nevnte anførselen om ugyldig aksjetegning ikke fører frem, oppstår spørsmålet om </w:t>
            </w:r>
            <w:proofErr w:type="spellStart"/>
            <w:r>
              <w:rPr>
                <w:sz w:val="22"/>
              </w:rPr>
              <w:t>ReeM</w:t>
            </w:r>
            <w:proofErr w:type="spellEnd"/>
            <w:r>
              <w:rPr>
                <w:sz w:val="22"/>
              </w:rPr>
              <w:t xml:space="preserve"> kan kreve naturaloppfyllelse. NF har for Høyesterett bestridt at det foreligger en slik adgang, mens </w:t>
            </w:r>
            <w:proofErr w:type="spellStart"/>
            <w:r>
              <w:rPr>
                <w:sz w:val="22"/>
              </w:rPr>
              <w:t>ReeM</w:t>
            </w:r>
            <w:proofErr w:type="spellEnd"/>
            <w:r>
              <w:rPr>
                <w:sz w:val="22"/>
              </w:rPr>
              <w:t xml:space="preserve"> på sin side har fastholdt sin oppfatning om at det er adgang til dette.</w:t>
            </w:r>
          </w:p>
        </w:tc>
      </w:tr>
    </w:tbl>
    <w:p w14:paraId="6882EB31" w14:textId="77777777" w:rsidR="00481BC9" w:rsidRDefault="00481BC9">
      <w:pPr>
        <w:rPr>
          <w:sz w:val="6"/>
        </w:rPr>
      </w:pPr>
    </w:p>
    <w:p w14:paraId="0185B403"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32A91A02" w14:textId="77777777">
        <w:tc>
          <w:tcPr>
            <w:tcW w:w="720" w:type="dxa"/>
            <w:noWrap/>
            <w:tcMar>
              <w:right w:w="80" w:type="dxa"/>
            </w:tcMar>
          </w:tcPr>
          <w:p w14:paraId="01577836" w14:textId="77777777" w:rsidR="00481BC9" w:rsidRDefault="00186AF9">
            <w:pPr>
              <w:rPr>
                <w:sz w:val="22"/>
              </w:rPr>
            </w:pPr>
            <w:r>
              <w:rPr>
                <w:sz w:val="22"/>
              </w:rPr>
              <w:t>(60)</w:t>
            </w:r>
          </w:p>
        </w:tc>
        <w:tc>
          <w:tcPr>
            <w:tcW w:w="0" w:type="auto"/>
            <w:tcMar>
              <w:right w:w="80" w:type="dxa"/>
            </w:tcMar>
          </w:tcPr>
          <w:p w14:paraId="13AB6E09" w14:textId="77777777" w:rsidR="00481BC9" w:rsidRDefault="00186AF9">
            <w:pPr>
              <w:rPr>
                <w:sz w:val="22"/>
              </w:rPr>
            </w:pPr>
            <w:r>
              <w:rPr>
                <w:sz w:val="22"/>
              </w:rPr>
              <w:t xml:space="preserve">Hovedregelen etter norsk rett er at kreditor etter en kontrakt har krav på, og kan få dom på, naturaloppfyllelse, jf. </w:t>
            </w:r>
            <w:proofErr w:type="spellStart"/>
            <w:r>
              <w:rPr>
                <w:sz w:val="22"/>
              </w:rPr>
              <w:t>Hagstrøm</w:t>
            </w:r>
            <w:proofErr w:type="spellEnd"/>
            <w:r>
              <w:rPr>
                <w:sz w:val="22"/>
              </w:rPr>
              <w:t>, Obligasjonsrett, 2. utgave 2011 side 379. For så vidt gjelder krav på penger, er dette en unntaksfri regel.</w:t>
            </w:r>
          </w:p>
        </w:tc>
      </w:tr>
    </w:tbl>
    <w:p w14:paraId="1C579BE7" w14:textId="77777777" w:rsidR="00481BC9" w:rsidRDefault="00481BC9">
      <w:pPr>
        <w:rPr>
          <w:sz w:val="6"/>
        </w:rPr>
      </w:pPr>
    </w:p>
    <w:p w14:paraId="6804AE97"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1BCE3410" w14:textId="77777777">
        <w:tc>
          <w:tcPr>
            <w:tcW w:w="720" w:type="dxa"/>
            <w:noWrap/>
            <w:tcMar>
              <w:right w:w="80" w:type="dxa"/>
            </w:tcMar>
          </w:tcPr>
          <w:p w14:paraId="16AACBDC" w14:textId="77777777" w:rsidR="00481BC9" w:rsidRDefault="00186AF9">
            <w:pPr>
              <w:rPr>
                <w:sz w:val="22"/>
              </w:rPr>
            </w:pPr>
            <w:r>
              <w:rPr>
                <w:sz w:val="22"/>
              </w:rPr>
              <w:lastRenderedPageBreak/>
              <w:t>(61)</w:t>
            </w:r>
          </w:p>
        </w:tc>
        <w:tc>
          <w:tcPr>
            <w:tcW w:w="0" w:type="auto"/>
            <w:tcMar>
              <w:right w:w="80" w:type="dxa"/>
            </w:tcMar>
          </w:tcPr>
          <w:p w14:paraId="315B6F6B" w14:textId="77777777" w:rsidR="00481BC9" w:rsidRDefault="00186AF9">
            <w:pPr>
              <w:rPr>
                <w:sz w:val="22"/>
              </w:rPr>
            </w:pPr>
            <w:r>
              <w:rPr>
                <w:sz w:val="22"/>
              </w:rPr>
              <w:t>Spørsmålet er da om det i aksjeselskapsretten gjør seg gjeldende særlige hensyn som innebærer at løsningen må bli en annen.</w:t>
            </w:r>
          </w:p>
        </w:tc>
      </w:tr>
    </w:tbl>
    <w:p w14:paraId="50B01BA2" w14:textId="77777777" w:rsidR="00481BC9" w:rsidRDefault="00481BC9">
      <w:pPr>
        <w:rPr>
          <w:sz w:val="6"/>
        </w:rPr>
      </w:pPr>
    </w:p>
    <w:p w14:paraId="0F20FD2E"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099F96A2" w14:textId="77777777">
        <w:tc>
          <w:tcPr>
            <w:tcW w:w="720" w:type="dxa"/>
            <w:noWrap/>
            <w:tcMar>
              <w:right w:w="80" w:type="dxa"/>
            </w:tcMar>
          </w:tcPr>
          <w:p w14:paraId="7F9D93B1" w14:textId="77777777" w:rsidR="00481BC9" w:rsidRDefault="00186AF9">
            <w:pPr>
              <w:rPr>
                <w:sz w:val="22"/>
              </w:rPr>
            </w:pPr>
            <w:r>
              <w:rPr>
                <w:sz w:val="22"/>
              </w:rPr>
              <w:t>(62)</w:t>
            </w:r>
          </w:p>
        </w:tc>
        <w:tc>
          <w:tcPr>
            <w:tcW w:w="0" w:type="auto"/>
            <w:tcMar>
              <w:right w:w="80" w:type="dxa"/>
            </w:tcMar>
          </w:tcPr>
          <w:p w14:paraId="5B37E02A" w14:textId="77777777" w:rsidR="00481BC9" w:rsidRDefault="00186AF9">
            <w:pPr>
              <w:rPr>
                <w:sz w:val="22"/>
              </w:rPr>
            </w:pPr>
            <w:r>
              <w:rPr>
                <w:sz w:val="22"/>
              </w:rPr>
              <w:t xml:space="preserve">Jeg kan ikke se at bestemmelsen i </w:t>
            </w:r>
            <w:hyperlink r:id="rId42" w:anchor="reference/lov/1997-06-13-44/§10-9" w:history="1">
              <w:r>
                <w:rPr>
                  <w:sz w:val="22"/>
                </w:rPr>
                <w:t>aksjeloven § 10-9</w:t>
              </w:r>
            </w:hyperlink>
            <w:r>
              <w:rPr>
                <w:sz w:val="22"/>
              </w:rPr>
              <w:t xml:space="preserve"> tredje ledd er til hinder for naturaloppfyllelse i et tilfelle som her, hvor det bare er én tegner – NF – som er involvert. Kravet om naturaloppfyllelse forutsetter imidlertid at </w:t>
            </w:r>
            <w:proofErr w:type="spellStart"/>
            <w:r>
              <w:rPr>
                <w:sz w:val="22"/>
              </w:rPr>
              <w:t>ReeM</w:t>
            </w:r>
            <w:proofErr w:type="spellEnd"/>
            <w:r>
              <w:rPr>
                <w:sz w:val="22"/>
              </w:rPr>
              <w:t xml:space="preserve"> gjennomfører en ny kapitalforhøyelse, slik at NF mottar 75 000 aksjer når denne er registrert. Jeg tilføyer at det også må forutsettes at kapitalforhøyelsen da gjennomføres </w:t>
            </w:r>
            <w:r>
              <w:rPr>
                <w:i/>
                <w:sz w:val="22"/>
              </w:rPr>
              <w:t>innen rimelig tid</w:t>
            </w:r>
            <w:r>
              <w:rPr>
                <w:sz w:val="22"/>
              </w:rPr>
              <w:t xml:space="preserve">, og viser i denne sammenheng til det jeg tidligere har sagt om rettstilstanden etter </w:t>
            </w:r>
            <w:hyperlink r:id="rId43" w:anchor="reference/lov/1976-06-04-59/§4-7" w:history="1">
              <w:r>
                <w:rPr>
                  <w:sz w:val="22"/>
                </w:rPr>
                <w:t>aksjeloven 1976 § 4-7</w:t>
              </w:r>
            </w:hyperlink>
            <w:r>
              <w:rPr>
                <w:sz w:val="22"/>
              </w:rPr>
              <w:t>, jf. avsnitt 48.</w:t>
            </w:r>
          </w:p>
        </w:tc>
      </w:tr>
    </w:tbl>
    <w:p w14:paraId="4A62837E" w14:textId="77777777" w:rsidR="00481BC9" w:rsidRDefault="00481BC9">
      <w:pPr>
        <w:rPr>
          <w:sz w:val="6"/>
        </w:rPr>
      </w:pPr>
    </w:p>
    <w:p w14:paraId="405B4CEB"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693FB141" w14:textId="77777777">
        <w:tc>
          <w:tcPr>
            <w:tcW w:w="720" w:type="dxa"/>
            <w:noWrap/>
            <w:tcMar>
              <w:right w:w="80" w:type="dxa"/>
            </w:tcMar>
          </w:tcPr>
          <w:p w14:paraId="09A2AC8A" w14:textId="77777777" w:rsidR="00481BC9" w:rsidRDefault="00186AF9">
            <w:pPr>
              <w:rPr>
                <w:sz w:val="22"/>
              </w:rPr>
            </w:pPr>
            <w:r>
              <w:rPr>
                <w:sz w:val="22"/>
              </w:rPr>
              <w:t>(63)</w:t>
            </w:r>
          </w:p>
        </w:tc>
        <w:tc>
          <w:tcPr>
            <w:tcW w:w="0" w:type="auto"/>
            <w:tcMar>
              <w:right w:w="80" w:type="dxa"/>
            </w:tcMar>
          </w:tcPr>
          <w:p w14:paraId="40C1E374" w14:textId="77777777" w:rsidR="00481BC9" w:rsidRDefault="00186AF9">
            <w:pPr>
              <w:rPr>
                <w:sz w:val="22"/>
              </w:rPr>
            </w:pPr>
            <w:r>
              <w:rPr>
                <w:sz w:val="22"/>
              </w:rPr>
              <w:t xml:space="preserve">Anken har ført frem, og den ankende part har krevd dekket sakskostnader for Høyesterett med 256 500 kroner. I tillegg kommer rettsgebyret for Høyesterett. Kravet tas til følge, jf. </w:t>
            </w:r>
            <w:hyperlink r:id="rId44" w:anchor="reference/lov/2005-06-17-90/§20-2" w:history="1">
              <w:r>
                <w:rPr>
                  <w:sz w:val="22"/>
                </w:rPr>
                <w:t>tvisteloven § 20-2</w:t>
              </w:r>
            </w:hyperlink>
            <w:r>
              <w:rPr>
                <w:sz w:val="22"/>
              </w:rPr>
              <w:t xml:space="preserve">. Avgjørelsen av sakskostnader for hele behandlingen i tingretten og lagmannsretten, må avgjøres under den nye behandlingen for lagmannsretten, jf. </w:t>
            </w:r>
            <w:hyperlink r:id="rId45" w:anchor="reference/lov/2005-06-17-90/§20-8" w:history="1">
              <w:r>
                <w:rPr>
                  <w:sz w:val="22"/>
                </w:rPr>
                <w:t>tvisteloven § 20-8</w:t>
              </w:r>
            </w:hyperlink>
            <w:r>
              <w:rPr>
                <w:sz w:val="22"/>
              </w:rPr>
              <w:t xml:space="preserve"> tredje ledd og </w:t>
            </w:r>
            <w:hyperlink r:id="rId46" w:anchor="reference/avgjorelse/rt-2015-475" w:history="1">
              <w:r>
                <w:rPr>
                  <w:sz w:val="22"/>
                </w:rPr>
                <w:t>Rt-2015-475</w:t>
              </w:r>
            </w:hyperlink>
            <w:r>
              <w:rPr>
                <w:sz w:val="22"/>
              </w:rPr>
              <w:t xml:space="preserve"> og </w:t>
            </w:r>
            <w:hyperlink r:id="rId47" w:anchor="reference/avgjorelse/rt-2015-600" w:history="1">
              <w:r>
                <w:rPr>
                  <w:sz w:val="22"/>
                </w:rPr>
                <w:t>Rt-2015-600</w:t>
              </w:r>
            </w:hyperlink>
            <w:r>
              <w:rPr>
                <w:sz w:val="22"/>
              </w:rPr>
              <w:t>.</w:t>
            </w:r>
          </w:p>
        </w:tc>
      </w:tr>
    </w:tbl>
    <w:p w14:paraId="4B7FFBD4" w14:textId="77777777" w:rsidR="00481BC9" w:rsidRDefault="00481BC9">
      <w:pPr>
        <w:rPr>
          <w:sz w:val="6"/>
        </w:rPr>
      </w:pPr>
    </w:p>
    <w:p w14:paraId="07ECDF77"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586"/>
      </w:tblGrid>
      <w:tr w:rsidR="00481BC9" w14:paraId="21E51516" w14:textId="77777777">
        <w:tc>
          <w:tcPr>
            <w:tcW w:w="720" w:type="dxa"/>
            <w:noWrap/>
            <w:tcMar>
              <w:right w:w="80" w:type="dxa"/>
            </w:tcMar>
          </w:tcPr>
          <w:p w14:paraId="25459DD7" w14:textId="77777777" w:rsidR="00481BC9" w:rsidRDefault="00186AF9">
            <w:pPr>
              <w:rPr>
                <w:sz w:val="22"/>
              </w:rPr>
            </w:pPr>
            <w:r>
              <w:rPr>
                <w:sz w:val="22"/>
              </w:rPr>
              <w:t>(64)</w:t>
            </w:r>
          </w:p>
        </w:tc>
        <w:tc>
          <w:tcPr>
            <w:tcW w:w="0" w:type="auto"/>
            <w:tcMar>
              <w:right w:w="80" w:type="dxa"/>
            </w:tcMar>
          </w:tcPr>
          <w:p w14:paraId="7AC51120" w14:textId="77777777" w:rsidR="00481BC9" w:rsidRDefault="00186AF9">
            <w:pPr>
              <w:rPr>
                <w:sz w:val="6"/>
              </w:rPr>
            </w:pPr>
            <w:r>
              <w:rPr>
                <w:sz w:val="22"/>
              </w:rPr>
              <w:t>Jeg stemmer for denne</w:t>
            </w:r>
          </w:p>
          <w:p w14:paraId="752EF886" w14:textId="77777777" w:rsidR="00481BC9" w:rsidRDefault="00186AF9">
            <w:pPr>
              <w:spacing w:before="120"/>
              <w:ind w:left="360" w:firstLine="180"/>
              <w:jc w:val="center"/>
              <w:rPr>
                <w:sz w:val="6"/>
              </w:rPr>
            </w:pPr>
            <w:r>
              <w:rPr>
                <w:i/>
                <w:sz w:val="22"/>
              </w:rPr>
              <w:t>DOM:</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481BC9" w14:paraId="3A51C0B1" w14:textId="77777777">
              <w:tc>
                <w:tcPr>
                  <w:tcW w:w="720" w:type="dxa"/>
                  <w:noWrap/>
                  <w:tcMar>
                    <w:right w:w="80" w:type="dxa"/>
                  </w:tcMar>
                </w:tcPr>
                <w:p w14:paraId="26012F48" w14:textId="77777777" w:rsidR="00481BC9" w:rsidRDefault="00186AF9">
                  <w:pPr>
                    <w:jc w:val="right"/>
                    <w:rPr>
                      <w:sz w:val="22"/>
                    </w:rPr>
                  </w:pPr>
                  <w:r>
                    <w:rPr>
                      <w:i/>
                      <w:sz w:val="22"/>
                    </w:rPr>
                    <w:t>1.</w:t>
                  </w:r>
                </w:p>
              </w:tc>
              <w:tc>
                <w:tcPr>
                  <w:tcW w:w="8786" w:type="dxa"/>
                  <w:noWrap/>
                  <w:tcMar>
                    <w:right w:w="80" w:type="dxa"/>
                  </w:tcMar>
                </w:tcPr>
                <w:p w14:paraId="167FA7B6" w14:textId="77777777" w:rsidR="00481BC9" w:rsidRDefault="00186AF9">
                  <w:pPr>
                    <w:rPr>
                      <w:sz w:val="22"/>
                    </w:rPr>
                  </w:pPr>
                  <w:r>
                    <w:rPr>
                      <w:i/>
                      <w:sz w:val="22"/>
                    </w:rPr>
                    <w:t>Lagmannsrettens dom oppheves.</w:t>
                  </w:r>
                </w:p>
              </w:tc>
            </w:tr>
          </w:tbl>
          <w:p w14:paraId="6D5A1C64" w14:textId="77777777" w:rsidR="00481BC9" w:rsidRDefault="00481BC9">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481BC9" w14:paraId="6AD0522A" w14:textId="77777777">
              <w:tc>
                <w:tcPr>
                  <w:tcW w:w="720" w:type="dxa"/>
                  <w:noWrap/>
                  <w:tcMar>
                    <w:right w:w="80" w:type="dxa"/>
                  </w:tcMar>
                </w:tcPr>
                <w:p w14:paraId="35001D38" w14:textId="77777777" w:rsidR="00481BC9" w:rsidRDefault="00186AF9">
                  <w:pPr>
                    <w:jc w:val="right"/>
                    <w:rPr>
                      <w:sz w:val="22"/>
                    </w:rPr>
                  </w:pPr>
                  <w:r>
                    <w:rPr>
                      <w:i/>
                      <w:sz w:val="22"/>
                    </w:rPr>
                    <w:t>2.</w:t>
                  </w:r>
                </w:p>
              </w:tc>
              <w:tc>
                <w:tcPr>
                  <w:tcW w:w="8786" w:type="dxa"/>
                  <w:noWrap/>
                  <w:tcMar>
                    <w:right w:w="80" w:type="dxa"/>
                  </w:tcMar>
                </w:tcPr>
                <w:p w14:paraId="606DAE9B" w14:textId="77777777" w:rsidR="00481BC9" w:rsidRDefault="00186AF9">
                  <w:pPr>
                    <w:rPr>
                      <w:sz w:val="22"/>
                    </w:rPr>
                  </w:pPr>
                  <w:r>
                    <w:rPr>
                      <w:i/>
                      <w:sz w:val="22"/>
                    </w:rPr>
                    <w:t xml:space="preserve">I sakskostnader for Høyesterett betaler Norman Finans AS til Ree Minerals </w:t>
                  </w:r>
                  <w:proofErr w:type="spellStart"/>
                  <w:r>
                    <w:rPr>
                      <w:i/>
                      <w:sz w:val="22"/>
                    </w:rPr>
                    <w:t>Holding</w:t>
                  </w:r>
                  <w:proofErr w:type="spellEnd"/>
                  <w:r>
                    <w:rPr>
                      <w:i/>
                      <w:sz w:val="22"/>
                    </w:rPr>
                    <w:t xml:space="preserve"> AS 281 676 – </w:t>
                  </w:r>
                  <w:proofErr w:type="spellStart"/>
                  <w:r>
                    <w:rPr>
                      <w:i/>
                      <w:sz w:val="22"/>
                    </w:rPr>
                    <w:t>tohundreogåttientusensekshundreogsyttiseks</w:t>
                  </w:r>
                  <w:proofErr w:type="spellEnd"/>
                  <w:r>
                    <w:rPr>
                      <w:i/>
                      <w:sz w:val="22"/>
                    </w:rPr>
                    <w:t xml:space="preserve"> – kroner innen 2 – to – uker fra forkynnelsen av denne dom.</w:t>
                  </w:r>
                </w:p>
              </w:tc>
            </w:tr>
          </w:tbl>
          <w:p w14:paraId="54ECF7A3" w14:textId="77777777" w:rsidR="00481BC9" w:rsidRDefault="00481BC9">
            <w:pPr>
              <w:rPr>
                <w:sz w:val="22"/>
              </w:rPr>
            </w:pPr>
          </w:p>
        </w:tc>
      </w:tr>
    </w:tbl>
    <w:p w14:paraId="6C66C3E8" w14:textId="77777777" w:rsidR="00481BC9" w:rsidRDefault="00481BC9">
      <w:pPr>
        <w:rPr>
          <w:sz w:val="6"/>
        </w:rPr>
      </w:pPr>
    </w:p>
    <w:p w14:paraId="3D769018"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2321F018" w14:textId="77777777">
        <w:tc>
          <w:tcPr>
            <w:tcW w:w="720" w:type="dxa"/>
            <w:noWrap/>
            <w:tcMar>
              <w:right w:w="80" w:type="dxa"/>
            </w:tcMar>
          </w:tcPr>
          <w:p w14:paraId="0882C974" w14:textId="77777777" w:rsidR="00481BC9" w:rsidRDefault="00186AF9">
            <w:pPr>
              <w:rPr>
                <w:sz w:val="22"/>
              </w:rPr>
            </w:pPr>
            <w:r>
              <w:rPr>
                <w:sz w:val="22"/>
              </w:rPr>
              <w:t>(65)</w:t>
            </w:r>
          </w:p>
        </w:tc>
        <w:tc>
          <w:tcPr>
            <w:tcW w:w="0" w:type="auto"/>
            <w:tcMar>
              <w:right w:w="80" w:type="dxa"/>
            </w:tcMar>
          </w:tcPr>
          <w:p w14:paraId="1C772DBA" w14:textId="77777777" w:rsidR="00481BC9" w:rsidRDefault="00186AF9">
            <w:pPr>
              <w:rPr>
                <w:sz w:val="22"/>
              </w:rPr>
            </w:pPr>
            <w:r>
              <w:rPr>
                <w:sz w:val="22"/>
              </w:rPr>
              <w:t xml:space="preserve">Dommer </w:t>
            </w:r>
            <w:r>
              <w:rPr>
                <w:b/>
                <w:sz w:val="22"/>
              </w:rPr>
              <w:t>Noer:</w:t>
            </w:r>
            <w:r>
              <w:rPr>
                <w:sz w:val="22"/>
              </w:rPr>
              <w:t xml:space="preserve"> Jeg er i det vesentlige og i resultatet enig med førstvoterende.</w:t>
            </w:r>
          </w:p>
        </w:tc>
      </w:tr>
    </w:tbl>
    <w:p w14:paraId="6804930C" w14:textId="77777777" w:rsidR="00481BC9" w:rsidRDefault="00481BC9">
      <w:pPr>
        <w:rPr>
          <w:sz w:val="6"/>
        </w:rPr>
      </w:pPr>
    </w:p>
    <w:p w14:paraId="128A1465"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0ED66911" w14:textId="77777777">
        <w:tc>
          <w:tcPr>
            <w:tcW w:w="720" w:type="dxa"/>
            <w:noWrap/>
            <w:tcMar>
              <w:right w:w="80" w:type="dxa"/>
            </w:tcMar>
          </w:tcPr>
          <w:p w14:paraId="563D22C8" w14:textId="77777777" w:rsidR="00481BC9" w:rsidRDefault="00186AF9">
            <w:pPr>
              <w:rPr>
                <w:sz w:val="22"/>
              </w:rPr>
            </w:pPr>
            <w:r>
              <w:rPr>
                <w:sz w:val="22"/>
              </w:rPr>
              <w:t>(66)</w:t>
            </w:r>
          </w:p>
        </w:tc>
        <w:tc>
          <w:tcPr>
            <w:tcW w:w="0" w:type="auto"/>
            <w:tcMar>
              <w:right w:w="80" w:type="dxa"/>
            </w:tcMar>
          </w:tcPr>
          <w:p w14:paraId="026C466D" w14:textId="77777777" w:rsidR="00481BC9" w:rsidRDefault="00186AF9">
            <w:pPr>
              <w:rPr>
                <w:sz w:val="22"/>
              </w:rPr>
            </w:pPr>
            <w:proofErr w:type="spellStart"/>
            <w:r>
              <w:rPr>
                <w:sz w:val="22"/>
              </w:rPr>
              <w:t>Dommar</w:t>
            </w:r>
            <w:proofErr w:type="spellEnd"/>
            <w:r>
              <w:rPr>
                <w:sz w:val="22"/>
              </w:rPr>
              <w:t xml:space="preserve"> </w:t>
            </w:r>
            <w:r>
              <w:rPr>
                <w:b/>
                <w:sz w:val="22"/>
              </w:rPr>
              <w:t>Høgetveit Berg:</w:t>
            </w:r>
            <w:r>
              <w:rPr>
                <w:sz w:val="22"/>
              </w:rPr>
              <w:t xml:space="preserve"> Det same.</w:t>
            </w:r>
          </w:p>
        </w:tc>
      </w:tr>
    </w:tbl>
    <w:p w14:paraId="52895DC2" w14:textId="77777777" w:rsidR="00481BC9" w:rsidRDefault="00481BC9">
      <w:pPr>
        <w:rPr>
          <w:sz w:val="6"/>
        </w:rPr>
      </w:pPr>
    </w:p>
    <w:p w14:paraId="7ADECF3D"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6D157456" w14:textId="77777777">
        <w:tc>
          <w:tcPr>
            <w:tcW w:w="720" w:type="dxa"/>
            <w:noWrap/>
            <w:tcMar>
              <w:right w:w="80" w:type="dxa"/>
            </w:tcMar>
          </w:tcPr>
          <w:p w14:paraId="50C1495A" w14:textId="77777777" w:rsidR="00481BC9" w:rsidRDefault="00186AF9">
            <w:pPr>
              <w:rPr>
                <w:sz w:val="22"/>
              </w:rPr>
            </w:pPr>
            <w:r>
              <w:rPr>
                <w:sz w:val="22"/>
              </w:rPr>
              <w:t>(67)</w:t>
            </w:r>
          </w:p>
        </w:tc>
        <w:tc>
          <w:tcPr>
            <w:tcW w:w="0" w:type="auto"/>
            <w:tcMar>
              <w:right w:w="80" w:type="dxa"/>
            </w:tcMar>
          </w:tcPr>
          <w:p w14:paraId="2227D4A5" w14:textId="77777777" w:rsidR="00481BC9" w:rsidRDefault="00186AF9">
            <w:pPr>
              <w:rPr>
                <w:sz w:val="22"/>
              </w:rPr>
            </w:pPr>
            <w:r>
              <w:rPr>
                <w:sz w:val="22"/>
              </w:rPr>
              <w:t xml:space="preserve">Dommer </w:t>
            </w:r>
            <w:r>
              <w:rPr>
                <w:b/>
                <w:sz w:val="22"/>
              </w:rPr>
              <w:t>Falch:</w:t>
            </w:r>
            <w:r>
              <w:rPr>
                <w:sz w:val="22"/>
              </w:rPr>
              <w:t xml:space="preserve"> Likeså.</w:t>
            </w:r>
          </w:p>
        </w:tc>
      </w:tr>
    </w:tbl>
    <w:p w14:paraId="6B1D027F" w14:textId="77777777" w:rsidR="00481BC9" w:rsidRDefault="00481BC9">
      <w:pPr>
        <w:rPr>
          <w:sz w:val="6"/>
        </w:rPr>
      </w:pPr>
    </w:p>
    <w:p w14:paraId="52F5BAB2"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481BC9" w14:paraId="54617482" w14:textId="77777777">
        <w:tc>
          <w:tcPr>
            <w:tcW w:w="720" w:type="dxa"/>
            <w:noWrap/>
            <w:tcMar>
              <w:right w:w="80" w:type="dxa"/>
            </w:tcMar>
          </w:tcPr>
          <w:p w14:paraId="3808228B" w14:textId="77777777" w:rsidR="00481BC9" w:rsidRDefault="00186AF9">
            <w:pPr>
              <w:rPr>
                <w:sz w:val="22"/>
              </w:rPr>
            </w:pPr>
            <w:r>
              <w:rPr>
                <w:sz w:val="22"/>
              </w:rPr>
              <w:t>(68)</w:t>
            </w:r>
          </w:p>
        </w:tc>
        <w:tc>
          <w:tcPr>
            <w:tcW w:w="0" w:type="auto"/>
            <w:tcMar>
              <w:right w:w="80" w:type="dxa"/>
            </w:tcMar>
          </w:tcPr>
          <w:p w14:paraId="2B220D35" w14:textId="77777777" w:rsidR="00481BC9" w:rsidRDefault="00186AF9">
            <w:pPr>
              <w:rPr>
                <w:sz w:val="22"/>
              </w:rPr>
            </w:pPr>
            <w:r>
              <w:rPr>
                <w:sz w:val="22"/>
              </w:rPr>
              <w:t xml:space="preserve">Dommer </w:t>
            </w:r>
            <w:r>
              <w:rPr>
                <w:b/>
                <w:sz w:val="22"/>
              </w:rPr>
              <w:t>Matningsdal:</w:t>
            </w:r>
            <w:r>
              <w:rPr>
                <w:sz w:val="22"/>
              </w:rPr>
              <w:t xml:space="preserve"> Likeså.</w:t>
            </w:r>
          </w:p>
        </w:tc>
      </w:tr>
    </w:tbl>
    <w:p w14:paraId="39BF794B" w14:textId="77777777" w:rsidR="00481BC9" w:rsidRDefault="00481BC9">
      <w:pPr>
        <w:rPr>
          <w:sz w:val="6"/>
        </w:rPr>
      </w:pPr>
    </w:p>
    <w:p w14:paraId="019CF277" w14:textId="77777777" w:rsidR="00481BC9" w:rsidRDefault="00481BC9">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586"/>
      </w:tblGrid>
      <w:tr w:rsidR="00481BC9" w14:paraId="428D240B" w14:textId="77777777">
        <w:tc>
          <w:tcPr>
            <w:tcW w:w="720" w:type="dxa"/>
            <w:noWrap/>
            <w:tcMar>
              <w:right w:w="80" w:type="dxa"/>
            </w:tcMar>
          </w:tcPr>
          <w:p w14:paraId="7D0E65E4" w14:textId="77777777" w:rsidR="00481BC9" w:rsidRDefault="00186AF9">
            <w:pPr>
              <w:rPr>
                <w:sz w:val="22"/>
              </w:rPr>
            </w:pPr>
            <w:r>
              <w:rPr>
                <w:sz w:val="22"/>
              </w:rPr>
              <w:t>(69)</w:t>
            </w:r>
          </w:p>
        </w:tc>
        <w:tc>
          <w:tcPr>
            <w:tcW w:w="0" w:type="auto"/>
            <w:tcMar>
              <w:right w:w="80" w:type="dxa"/>
            </w:tcMar>
          </w:tcPr>
          <w:p w14:paraId="2C67D18B" w14:textId="77777777" w:rsidR="00481BC9" w:rsidRDefault="00186AF9">
            <w:pPr>
              <w:rPr>
                <w:sz w:val="6"/>
              </w:rPr>
            </w:pPr>
            <w:r>
              <w:rPr>
                <w:sz w:val="22"/>
              </w:rPr>
              <w:t>Etter stemmegivningen avsa Høyesterett denne</w:t>
            </w:r>
          </w:p>
          <w:p w14:paraId="25DE8E4D" w14:textId="77777777" w:rsidR="00481BC9" w:rsidRDefault="00186AF9">
            <w:pPr>
              <w:spacing w:before="120"/>
              <w:ind w:left="360" w:firstLine="180"/>
              <w:jc w:val="center"/>
              <w:rPr>
                <w:sz w:val="6"/>
              </w:rPr>
            </w:pPr>
            <w:r>
              <w:rPr>
                <w:i/>
                <w:sz w:val="22"/>
              </w:rPr>
              <w:t xml:space="preserve"> DOM:</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481BC9" w14:paraId="4EE4F0FF" w14:textId="77777777">
              <w:tc>
                <w:tcPr>
                  <w:tcW w:w="720" w:type="dxa"/>
                  <w:noWrap/>
                  <w:tcMar>
                    <w:right w:w="80" w:type="dxa"/>
                  </w:tcMar>
                </w:tcPr>
                <w:p w14:paraId="6605DA6A" w14:textId="77777777" w:rsidR="00481BC9" w:rsidRDefault="00186AF9">
                  <w:pPr>
                    <w:jc w:val="right"/>
                    <w:rPr>
                      <w:sz w:val="22"/>
                    </w:rPr>
                  </w:pPr>
                  <w:r>
                    <w:rPr>
                      <w:i/>
                      <w:sz w:val="22"/>
                    </w:rPr>
                    <w:t>1.</w:t>
                  </w:r>
                </w:p>
              </w:tc>
              <w:tc>
                <w:tcPr>
                  <w:tcW w:w="8786" w:type="dxa"/>
                  <w:noWrap/>
                  <w:tcMar>
                    <w:right w:w="80" w:type="dxa"/>
                  </w:tcMar>
                </w:tcPr>
                <w:p w14:paraId="0999086D" w14:textId="77777777" w:rsidR="00481BC9" w:rsidRDefault="00186AF9">
                  <w:pPr>
                    <w:rPr>
                      <w:sz w:val="22"/>
                    </w:rPr>
                  </w:pPr>
                  <w:r>
                    <w:rPr>
                      <w:i/>
                      <w:sz w:val="22"/>
                    </w:rPr>
                    <w:t>Lagmannsrettens dom oppheves.</w:t>
                  </w:r>
                </w:p>
              </w:tc>
            </w:tr>
          </w:tbl>
          <w:p w14:paraId="3FFE57B4" w14:textId="77777777" w:rsidR="00481BC9" w:rsidRDefault="00481BC9">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481BC9" w14:paraId="137AECD8" w14:textId="77777777">
              <w:tc>
                <w:tcPr>
                  <w:tcW w:w="720" w:type="dxa"/>
                  <w:noWrap/>
                  <w:tcMar>
                    <w:right w:w="80" w:type="dxa"/>
                  </w:tcMar>
                </w:tcPr>
                <w:p w14:paraId="1B7771E7" w14:textId="77777777" w:rsidR="00481BC9" w:rsidRDefault="00186AF9">
                  <w:pPr>
                    <w:jc w:val="right"/>
                    <w:rPr>
                      <w:sz w:val="22"/>
                    </w:rPr>
                  </w:pPr>
                  <w:r>
                    <w:rPr>
                      <w:i/>
                      <w:sz w:val="22"/>
                    </w:rPr>
                    <w:t>2.</w:t>
                  </w:r>
                </w:p>
              </w:tc>
              <w:tc>
                <w:tcPr>
                  <w:tcW w:w="8786" w:type="dxa"/>
                  <w:noWrap/>
                  <w:tcMar>
                    <w:right w:w="80" w:type="dxa"/>
                  </w:tcMar>
                </w:tcPr>
                <w:p w14:paraId="505978C5" w14:textId="77777777" w:rsidR="00481BC9" w:rsidRDefault="00186AF9">
                  <w:pPr>
                    <w:rPr>
                      <w:sz w:val="22"/>
                    </w:rPr>
                  </w:pPr>
                  <w:r>
                    <w:rPr>
                      <w:i/>
                      <w:sz w:val="22"/>
                    </w:rPr>
                    <w:t xml:space="preserve">I sakskostnader for Høyesterett betaler Norman Finans AS til Ree Minerals </w:t>
                  </w:r>
                  <w:proofErr w:type="spellStart"/>
                  <w:r>
                    <w:rPr>
                      <w:i/>
                      <w:sz w:val="22"/>
                    </w:rPr>
                    <w:t>Holding</w:t>
                  </w:r>
                  <w:proofErr w:type="spellEnd"/>
                  <w:r>
                    <w:rPr>
                      <w:i/>
                      <w:sz w:val="22"/>
                    </w:rPr>
                    <w:t xml:space="preserve"> AS 281 676 – </w:t>
                  </w:r>
                  <w:proofErr w:type="spellStart"/>
                  <w:r>
                    <w:rPr>
                      <w:i/>
                      <w:sz w:val="22"/>
                    </w:rPr>
                    <w:t>tohundreogåttientusensekshundreogsyttiseks</w:t>
                  </w:r>
                  <w:proofErr w:type="spellEnd"/>
                  <w:r>
                    <w:rPr>
                      <w:i/>
                      <w:sz w:val="22"/>
                    </w:rPr>
                    <w:t xml:space="preserve"> – kroner innen 2 – to – uker fra forkynnelsen av denne dom. </w:t>
                  </w:r>
                </w:p>
              </w:tc>
            </w:tr>
          </w:tbl>
          <w:p w14:paraId="6DDCD4B0" w14:textId="77777777" w:rsidR="00481BC9" w:rsidRDefault="00481BC9">
            <w:pPr>
              <w:rPr>
                <w:sz w:val="22"/>
              </w:rPr>
            </w:pPr>
          </w:p>
          <w:p w14:paraId="4BD842F2" w14:textId="77777777" w:rsidR="00481BC9" w:rsidRDefault="00481BC9">
            <w:pPr>
              <w:spacing w:before="120"/>
              <w:rPr>
                <w:sz w:val="22"/>
              </w:rPr>
            </w:pPr>
          </w:p>
        </w:tc>
      </w:tr>
      <w:bookmarkEnd w:id="1"/>
    </w:tbl>
    <w:p w14:paraId="3BAC8394" w14:textId="77777777" w:rsidR="00481BC9" w:rsidRDefault="00481BC9">
      <w:pPr>
        <w:rPr>
          <w:sz w:val="22"/>
        </w:rPr>
      </w:pPr>
    </w:p>
    <w:sectPr w:rsidR="00481BC9">
      <w:headerReference w:type="default" r:id="rId48"/>
      <w:footerReference w:type="default" r:id="rId49"/>
      <w:pgSz w:w="11906" w:h="16838"/>
      <w:pgMar w:top="1020" w:right="1020" w:bottom="1020" w:left="10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B4101" w14:textId="77777777" w:rsidR="00186AF9" w:rsidRDefault="00186AF9">
      <w:r>
        <w:separator/>
      </w:r>
    </w:p>
  </w:endnote>
  <w:endnote w:type="continuationSeparator" w:id="0">
    <w:p w14:paraId="7C23856E" w14:textId="77777777" w:rsidR="00186AF9" w:rsidRDefault="0018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2A4B5" w14:textId="77777777" w:rsidR="00481BC9" w:rsidRDefault="00186AF9">
    <w:pPr>
      <w:jc w:val="center"/>
      <w:rPr>
        <w:sz w:val="22"/>
      </w:rPr>
    </w:pPr>
    <w:r>
      <w:rPr>
        <w:sz w:val="22"/>
      </w:rPr>
      <w:t xml:space="preserve"> </w:t>
    </w:r>
  </w:p>
  <w:p w14:paraId="73B56CC6" w14:textId="77777777" w:rsidR="00481BC9" w:rsidRDefault="00186AF9">
    <w:pPr>
      <w:jc w:val="center"/>
      <w:rPr>
        <w:sz w:val="22"/>
      </w:rPr>
    </w:pPr>
    <w:r>
      <w:rPr>
        <w:sz w:val="22"/>
      </w:rPr>
      <w:t>HR-2018-111-A</w:t>
    </w:r>
  </w:p>
  <w:p w14:paraId="121ACA8A" w14:textId="77777777" w:rsidR="00481BC9" w:rsidRDefault="00186AF9">
    <w:pPr>
      <w:jc w:val="center"/>
      <w:rPr>
        <w:sz w:val="22"/>
      </w:rPr>
    </w:pPr>
    <w:r>
      <w:rPr>
        <w:sz w:val="22"/>
      </w:rPr>
      <w:t xml:space="preserve">Side </w:t>
    </w:r>
    <w:r>
      <w:rPr>
        <w:sz w:val="22"/>
      </w:rPr>
      <w:fldChar w:fldCharType="begin"/>
    </w:r>
    <w:r>
      <w:rPr>
        <w:sz w:val="22"/>
      </w:rPr>
      <w:instrText>PAGE</w:instrText>
    </w:r>
    <w:r>
      <w:rPr>
        <w:sz w:val="22"/>
      </w:rPr>
      <w:fldChar w:fldCharType="separate"/>
    </w:r>
    <w:r>
      <w:rPr>
        <w:sz w:val="22"/>
      </w:rPr>
      <w:t>8</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7436C" w14:textId="77777777" w:rsidR="00186AF9" w:rsidRDefault="00186AF9">
      <w:r>
        <w:separator/>
      </w:r>
    </w:p>
  </w:footnote>
  <w:footnote w:type="continuationSeparator" w:id="0">
    <w:p w14:paraId="116DC3A6" w14:textId="77777777" w:rsidR="00186AF9" w:rsidRDefault="00186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63DF8" w14:textId="77777777" w:rsidR="00481BC9" w:rsidRDefault="00186AF9">
    <w:pPr>
      <w:jc w:val="right"/>
      <w:rPr>
        <w:sz w:val="22"/>
      </w:rPr>
    </w:pPr>
    <w:r>
      <w:rPr>
        <w:sz w:val="22"/>
      </w:rPr>
      <w:t xml:space="preserve">Utskrift fra Lovdata - </w:t>
    </w:r>
    <w:r>
      <w:rPr>
        <w:sz w:val="22"/>
      </w:rPr>
      <w:t>03.12.2024 10:02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86AF9"/>
    <w:rsid w:val="00481BC9"/>
    <w:rsid w:val="00A77B3E"/>
    <w:rsid w:val="00BF75F6"/>
    <w:rsid w:val="00CA2A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6C531B4"/>
  <w15:docId w15:val="{3CE1B3A7-4DED-4ADB-B2D7-3B1ADCCF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EF7B96"/>
    <w:pPr>
      <w:keepNext/>
      <w:spacing w:before="240" w:after="60"/>
      <w:outlineLvl w:val="1"/>
    </w:pPr>
    <w:rPr>
      <w:rFonts w:ascii="Arial" w:hAnsi="Arial" w:cs="Arial"/>
      <w:b/>
      <w:bCs/>
      <w:iCs/>
      <w:sz w:val="28"/>
      <w:szCs w:val="28"/>
    </w:rPr>
  </w:style>
  <w:style w:type="paragraph" w:styleId="Overskrift3">
    <w:name w:val="heading 3"/>
    <w:basedOn w:val="Normal"/>
    <w:next w:val="Normal"/>
    <w:qFormat/>
    <w:rsid w:val="00EF7B96"/>
    <w:pPr>
      <w:keepNext/>
      <w:spacing w:before="240" w:after="60"/>
      <w:outlineLvl w:val="2"/>
    </w:pPr>
    <w:rPr>
      <w:rFonts w:ascii="Arial" w:hAnsi="Arial" w:cs="Arial"/>
      <w:b/>
      <w:bCs/>
      <w:sz w:val="26"/>
      <w:szCs w:val="26"/>
    </w:rPr>
  </w:style>
  <w:style w:type="paragraph" w:styleId="Overskrift4">
    <w:name w:val="heading 4"/>
    <w:basedOn w:val="Normal"/>
    <w:next w:val="Normal"/>
    <w:qFormat/>
    <w:rsid w:val="00EF7B96"/>
    <w:pPr>
      <w:keepNext/>
      <w:spacing w:before="240" w:after="60"/>
      <w:outlineLvl w:val="3"/>
    </w:pPr>
    <w:rPr>
      <w:b/>
      <w:bCs/>
      <w:sz w:val="28"/>
      <w:szCs w:val="28"/>
    </w:rPr>
  </w:style>
  <w:style w:type="paragraph" w:styleId="Overskrift5">
    <w:name w:val="heading 5"/>
    <w:basedOn w:val="Normal"/>
    <w:next w:val="Normal"/>
    <w:qFormat/>
    <w:rsid w:val="00EF7B96"/>
    <w:pPr>
      <w:spacing w:before="240" w:after="60"/>
      <w:outlineLvl w:val="4"/>
    </w:pPr>
    <w:rPr>
      <w:b/>
      <w:bCs/>
      <w:iCs/>
      <w:sz w:val="26"/>
      <w:szCs w:val="26"/>
    </w:rPr>
  </w:style>
  <w:style w:type="paragraph" w:styleId="Overskrift6">
    <w:name w:val="heading 6"/>
    <w:basedOn w:val="Normal"/>
    <w:next w:val="Normal"/>
    <w:qFormat/>
    <w:rsid w:val="00EF7B96"/>
    <w:pPr>
      <w:spacing w:before="240" w:after="60"/>
      <w:outlineLvl w:val="5"/>
    </w:pPr>
    <w:rPr>
      <w:b/>
      <w:bCs/>
      <w:sz w:val="22"/>
      <w:szCs w:val="22"/>
    </w:rPr>
  </w:style>
  <w:style w:type="paragraph" w:styleId="Overskrift7">
    <w:name w:val="heading 7"/>
    <w:basedOn w:val="Normal"/>
    <w:next w:val="Normal"/>
    <w:qFormat/>
    <w:rsid w:val="00EF7B96"/>
    <w:pPr>
      <w:spacing w:before="240" w:after="60"/>
      <w:outlineLvl w:val="6"/>
    </w:pPr>
  </w:style>
  <w:style w:type="paragraph" w:styleId="Overskrift8">
    <w:name w:val="heading 8"/>
    <w:basedOn w:val="Normal"/>
    <w:next w:val="Normal"/>
    <w:qFormat/>
    <w:rsid w:val="00EF7B96"/>
    <w:pPr>
      <w:spacing w:before="240" w:after="60"/>
      <w:outlineLvl w:val="7"/>
    </w:pPr>
    <w:rPr>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rsid w:val="00805BCE"/>
    <w:rPr>
      <w:b/>
      <w:sz w:val="22"/>
    </w:rPr>
  </w:style>
  <w:style w:type="paragraph" w:styleId="INNH2">
    <w:name w:val="toc 2"/>
    <w:basedOn w:val="Normal"/>
    <w:next w:val="Normal"/>
    <w:autoRedefine/>
    <w:rsid w:val="00805BCE"/>
    <w:pPr>
      <w:ind w:left="240"/>
    </w:pPr>
    <w:rPr>
      <w:b/>
      <w:sz w:val="22"/>
    </w:rPr>
  </w:style>
  <w:style w:type="paragraph" w:styleId="INNH3">
    <w:name w:val="toc 3"/>
    <w:basedOn w:val="Normal"/>
    <w:next w:val="Normal"/>
    <w:autoRedefine/>
    <w:rsid w:val="00805BCE"/>
    <w:pPr>
      <w:ind w:left="480"/>
    </w:pPr>
    <w:rPr>
      <w:b/>
      <w:sz w:val="22"/>
    </w:rPr>
  </w:style>
  <w:style w:type="paragraph" w:styleId="INNH4">
    <w:name w:val="toc 4"/>
    <w:basedOn w:val="Normal"/>
    <w:next w:val="Normal"/>
    <w:autoRedefine/>
    <w:rsid w:val="00805BCE"/>
    <w:pPr>
      <w:ind w:left="720"/>
    </w:pPr>
    <w:rPr>
      <w:b/>
      <w:sz w:val="22"/>
    </w:rPr>
  </w:style>
  <w:style w:type="paragraph" w:styleId="INNH5">
    <w:name w:val="toc 5"/>
    <w:basedOn w:val="Normal"/>
    <w:next w:val="Normal"/>
    <w:autoRedefine/>
    <w:rsid w:val="00805BCE"/>
    <w:pPr>
      <w:ind w:left="960"/>
    </w:pPr>
    <w:rPr>
      <w:b/>
      <w:sz w:val="22"/>
    </w:rPr>
  </w:style>
  <w:style w:type="paragraph" w:styleId="INNH6">
    <w:name w:val="toc 6"/>
    <w:basedOn w:val="Normal"/>
    <w:next w:val="Normal"/>
    <w:autoRedefine/>
    <w:rsid w:val="00805BCE"/>
    <w:pPr>
      <w:ind w:left="1200"/>
    </w:pPr>
    <w:rPr>
      <w:b/>
      <w:sz w:val="22"/>
    </w:rPr>
  </w:style>
  <w:style w:type="paragraph" w:styleId="INNH7">
    <w:name w:val="toc 7"/>
    <w:basedOn w:val="Normal"/>
    <w:next w:val="Normal"/>
    <w:autoRedefine/>
    <w:rsid w:val="00805BCE"/>
    <w:pPr>
      <w:ind w:left="1440"/>
    </w:pPr>
    <w:rPr>
      <w:b/>
      <w:sz w:val="22"/>
    </w:rPr>
  </w:style>
  <w:style w:type="paragraph" w:styleId="INNH8">
    <w:name w:val="toc 8"/>
    <w:basedOn w:val="Normal"/>
    <w:next w:val="Normal"/>
    <w:autoRedefine/>
    <w:rsid w:val="00805BCE"/>
    <w:pPr>
      <w:ind w:left="1680"/>
    </w:pPr>
    <w:rPr>
      <w:b/>
      <w:sz w:val="22"/>
    </w:rPr>
  </w:style>
  <w:style w:type="paragraph" w:styleId="INNH9">
    <w:name w:val="toc 9"/>
    <w:basedOn w:val="Normal"/>
    <w:next w:val="Normal"/>
    <w:autoRedefine/>
    <w:rsid w:val="00805BCE"/>
    <w:pPr>
      <w:ind w:left="1920"/>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lovdata.no/pro" TargetMode="External"/><Relationship Id="rId18" Type="http://schemas.openxmlformats.org/officeDocument/2006/relationships/hyperlink" Target="https://lovdata.no/pro" TargetMode="External"/><Relationship Id="rId26" Type="http://schemas.openxmlformats.org/officeDocument/2006/relationships/hyperlink" Target="https://lovdata.no/pro" TargetMode="External"/><Relationship Id="rId39" Type="http://schemas.openxmlformats.org/officeDocument/2006/relationships/hyperlink" Target="https://lovdata.no/pro" TargetMode="External"/><Relationship Id="rId21" Type="http://schemas.openxmlformats.org/officeDocument/2006/relationships/hyperlink" Target="https://lovdata.no/pro" TargetMode="External"/><Relationship Id="rId34" Type="http://schemas.openxmlformats.org/officeDocument/2006/relationships/hyperlink" Target="https://lovdata.no/pro" TargetMode="External"/><Relationship Id="rId42" Type="http://schemas.openxmlformats.org/officeDocument/2006/relationships/hyperlink" Target="https://lovdata.no/pro" TargetMode="External"/><Relationship Id="rId47" Type="http://schemas.openxmlformats.org/officeDocument/2006/relationships/hyperlink" Target="https://lovdata.no/pro" TargetMode="External"/><Relationship Id="rId50" Type="http://schemas.openxmlformats.org/officeDocument/2006/relationships/fontTable" Target="fontTable.xml"/><Relationship Id="rId7" Type="http://schemas.openxmlformats.org/officeDocument/2006/relationships/hyperlink" Target="https://lovdata.no/pro" TargetMode="External"/><Relationship Id="rId2" Type="http://schemas.openxmlformats.org/officeDocument/2006/relationships/settings" Target="settings.xml"/><Relationship Id="rId16" Type="http://schemas.openxmlformats.org/officeDocument/2006/relationships/hyperlink" Target="https://lovdata.no/pro" TargetMode="External"/><Relationship Id="rId29" Type="http://schemas.openxmlformats.org/officeDocument/2006/relationships/hyperlink" Target="https://lovdata.no/pro" TargetMode="External"/><Relationship Id="rId11" Type="http://schemas.openxmlformats.org/officeDocument/2006/relationships/hyperlink" Target="https://lovdata.no/pro" TargetMode="External"/><Relationship Id="rId24" Type="http://schemas.openxmlformats.org/officeDocument/2006/relationships/hyperlink" Target="https://lovdata.no/pro" TargetMode="External"/><Relationship Id="rId32" Type="http://schemas.openxmlformats.org/officeDocument/2006/relationships/hyperlink" Target="https://lovdata.no/pro" TargetMode="External"/><Relationship Id="rId37" Type="http://schemas.openxmlformats.org/officeDocument/2006/relationships/hyperlink" Target="https://lovdata.no/pro" TargetMode="External"/><Relationship Id="rId40" Type="http://schemas.openxmlformats.org/officeDocument/2006/relationships/hyperlink" Target="https://lovdata.no/pro" TargetMode="External"/><Relationship Id="rId45" Type="http://schemas.openxmlformats.org/officeDocument/2006/relationships/hyperlink" Target="https://lovdata.no/pro" TargetMode="External"/><Relationship Id="rId5" Type="http://schemas.openxmlformats.org/officeDocument/2006/relationships/endnotes" Target="endnotes.xml"/><Relationship Id="rId15" Type="http://schemas.openxmlformats.org/officeDocument/2006/relationships/hyperlink" Target="https://lovdata.no/pro" TargetMode="External"/><Relationship Id="rId23" Type="http://schemas.openxmlformats.org/officeDocument/2006/relationships/hyperlink" Target="https://lovdata.no/pro" TargetMode="External"/><Relationship Id="rId28" Type="http://schemas.openxmlformats.org/officeDocument/2006/relationships/hyperlink" Target="https://lovdata.no/pro" TargetMode="External"/><Relationship Id="rId36" Type="http://schemas.openxmlformats.org/officeDocument/2006/relationships/hyperlink" Target="https://lovdata.no/pro" TargetMode="External"/><Relationship Id="rId49" Type="http://schemas.openxmlformats.org/officeDocument/2006/relationships/footer" Target="footer1.xml"/><Relationship Id="rId10" Type="http://schemas.openxmlformats.org/officeDocument/2006/relationships/hyperlink" Target="https://lovdata.no/pro" TargetMode="External"/><Relationship Id="rId19" Type="http://schemas.openxmlformats.org/officeDocument/2006/relationships/hyperlink" Target="https://lovdata.no/pro" TargetMode="External"/><Relationship Id="rId31" Type="http://schemas.openxmlformats.org/officeDocument/2006/relationships/hyperlink" Target="https://lovdata.no/pro" TargetMode="External"/><Relationship Id="rId44" Type="http://schemas.openxmlformats.org/officeDocument/2006/relationships/hyperlink" Target="https://lovdata.no/pro" TargetMode="External"/><Relationship Id="rId4" Type="http://schemas.openxmlformats.org/officeDocument/2006/relationships/footnotes" Target="footnotes.xml"/><Relationship Id="rId9" Type="http://schemas.openxmlformats.org/officeDocument/2006/relationships/hyperlink" Target="https://lovdata.no/pro" TargetMode="External"/><Relationship Id="rId14" Type="http://schemas.openxmlformats.org/officeDocument/2006/relationships/hyperlink" Target="https://lovdata.no/pro" TargetMode="External"/><Relationship Id="rId22" Type="http://schemas.openxmlformats.org/officeDocument/2006/relationships/hyperlink" Target="https://lovdata.no/pro" TargetMode="External"/><Relationship Id="rId27" Type="http://schemas.openxmlformats.org/officeDocument/2006/relationships/hyperlink" Target="https://lovdata.no/pro" TargetMode="External"/><Relationship Id="rId30" Type="http://schemas.openxmlformats.org/officeDocument/2006/relationships/hyperlink" Target="https://lovdata.no/pro" TargetMode="External"/><Relationship Id="rId35" Type="http://schemas.openxmlformats.org/officeDocument/2006/relationships/hyperlink" Target="https://lovdata.no/pro" TargetMode="External"/><Relationship Id="rId43" Type="http://schemas.openxmlformats.org/officeDocument/2006/relationships/hyperlink" Target="https://lovdata.no/pro" TargetMode="External"/><Relationship Id="rId48" Type="http://schemas.openxmlformats.org/officeDocument/2006/relationships/header" Target="header1.xml"/><Relationship Id="rId8" Type="http://schemas.openxmlformats.org/officeDocument/2006/relationships/hyperlink" Target="https://lovdata.no/pro"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vdata.no/pro" TargetMode="External"/><Relationship Id="rId17" Type="http://schemas.openxmlformats.org/officeDocument/2006/relationships/hyperlink" Target="https://lovdata.no/pro" TargetMode="External"/><Relationship Id="rId25" Type="http://schemas.openxmlformats.org/officeDocument/2006/relationships/hyperlink" Target="https://lovdata.no/pro" TargetMode="External"/><Relationship Id="rId33" Type="http://schemas.openxmlformats.org/officeDocument/2006/relationships/hyperlink" Target="https://lovdata.no/pro" TargetMode="External"/><Relationship Id="rId38" Type="http://schemas.openxmlformats.org/officeDocument/2006/relationships/hyperlink" Target="https://lovdata.no/pro" TargetMode="External"/><Relationship Id="rId46" Type="http://schemas.openxmlformats.org/officeDocument/2006/relationships/hyperlink" Target="https://lovdata.no/pro" TargetMode="External"/><Relationship Id="rId20" Type="http://schemas.openxmlformats.org/officeDocument/2006/relationships/hyperlink" Target="https://lovdata.no/pro" TargetMode="External"/><Relationship Id="rId41" Type="http://schemas.openxmlformats.org/officeDocument/2006/relationships/hyperlink" Target="https://lovdata.no/pro" TargetMode="Externa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4456</Words>
  <Characters>23617</Characters>
  <Application>Microsoft Office Word</Application>
  <DocSecurity>0</DocSecurity>
  <Lines>196</Lines>
  <Paragraphs>56</Paragraphs>
  <ScaleCrop>false</ScaleCrop>
  <HeadingPairs>
    <vt:vector size="2" baseType="variant">
      <vt:variant>
        <vt:lpstr>Title</vt:lpstr>
      </vt:variant>
      <vt:variant>
        <vt:i4>1</vt:i4>
      </vt:variant>
    </vt:vector>
  </HeadingPairs>
  <TitlesOfParts>
    <vt:vector size="1" baseType="lpstr">
      <vt:lpstr/>
    </vt:vector>
  </TitlesOfParts>
  <Company>Stiftelsen Lovdata</Company>
  <LinksUpToDate>false</LinksUpToDate>
  <CharactersWithSpaces>28017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Norges Høyesterett - Dom - HR-2018-111-A</dc:title>
  <dc:subject>Norges Høyesterett - Dom - HR-2018-111-A</dc:subject>
  <dc:creator>Stiftelsen Lovdata</dc:creator>
  <cp:lastModifiedBy>Arne Ringnes</cp:lastModifiedBy>
  <cp:revision>2</cp:revision>
  <dcterms:created xsi:type="dcterms:W3CDTF">2024-12-03T09:02:00Z</dcterms:created>
  <dcterms:modified xsi:type="dcterms:W3CDTF">2024-12-03T09:02:00Z</dcterms:modified>
  <cp:category>Juridisk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faultFont">
    <vt:lpwstr>Times New Roman</vt:lpwstr>
  </property>
  <property fmtid="{D5CDD505-2E9C-101B-9397-08002B2CF9AE}" pid="3" name="Lovdata-UID">
    <vt:i4>41611</vt:i4>
  </property>
</Properties>
</file>