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7892F" w14:textId="77777777" w:rsidR="00A77B3E" w:rsidRDefault="00A77B3E">
      <w:pPr>
        <w:rPr>
          <w:color w:val="000000"/>
        </w:rPr>
      </w:pPr>
    </w:p>
    <w:p w14:paraId="1076A63F" w14:textId="77777777" w:rsidR="00A77B3E" w:rsidRDefault="00230B88">
      <w:pPr>
        <w:jc w:val="center"/>
        <w:rPr>
          <w:color w:val="000000"/>
        </w:rPr>
      </w:pPr>
      <w:r>
        <w:rPr>
          <w:color w:val="000000"/>
        </w:rPr>
        <w:t xml:space="preserve"> </w:t>
      </w:r>
    </w:p>
    <w:p w14:paraId="32D46E05" w14:textId="77777777" w:rsidR="00A77B3E" w:rsidRDefault="00230B88">
      <w:pPr>
        <w:jc w:val="center"/>
        <w:rPr>
          <w:color w:val="000000"/>
        </w:rPr>
      </w:pPr>
      <w:r>
        <w:rPr>
          <w:noProof/>
          <w:color w:val="000000"/>
        </w:rPr>
        <w:drawing>
          <wp:anchor distT="0" distB="0" distL="114300" distR="114300" simplePos="0" relativeHeight="251658240" behindDoc="0" locked="0" layoutInCell="1" allowOverlap="1" wp14:anchorId="740D4F12" wp14:editId="3D9F631F">
            <wp:simplePos x="0" y="0"/>
            <wp:positionH relativeFrom="page">
              <wp:align>center</wp:align>
            </wp:positionH>
            <wp:positionV relativeFrom="paragraph">
              <wp:posOffset>0</wp:posOffset>
            </wp:positionV>
            <wp:extent cx="2088303" cy="327577"/>
            <wp:effectExtent l="0" t="0" r="0" b="0"/>
            <wp:wrapTopAndBottom/>
            <wp:docPr id="100001" name="Bild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6"/>
                    <a:stretch>
                      <a:fillRect/>
                    </a:stretch>
                  </pic:blipFill>
                  <pic:spPr>
                    <a:xfrm>
                      <a:off x="0" y="0"/>
                      <a:ext cx="2088303" cy="327577"/>
                    </a:xfrm>
                    <a:prstGeom prst="rect">
                      <a:avLst/>
                    </a:prstGeom>
                  </pic:spPr>
                </pic:pic>
              </a:graphicData>
            </a:graphic>
          </wp:anchor>
        </w:drawing>
      </w:r>
    </w:p>
    <w:p w14:paraId="1A8D72F6" w14:textId="77777777" w:rsidR="00A77B3E" w:rsidRDefault="00230B88">
      <w:pPr>
        <w:pStyle w:val="Overskrift1"/>
        <w:jc w:val="center"/>
        <w:rPr>
          <w:color w:val="000000"/>
        </w:rPr>
      </w:pPr>
      <w:r>
        <w:rPr>
          <w:color w:val="000000"/>
        </w:rPr>
        <w:t>Norges Høyesterett - Dom - HR-2017-2375-A</w:t>
      </w:r>
    </w:p>
    <w:p w14:paraId="3F80033C" w14:textId="77777777" w:rsidR="00061875" w:rsidRDefault="00061875">
      <w:pPr>
        <w:jc w:val="center"/>
        <w:rPr>
          <w:sz w:val="22"/>
        </w:rPr>
      </w:pPr>
    </w:p>
    <w:p w14:paraId="2D08F3A8" w14:textId="77777777" w:rsidR="00061875" w:rsidRDefault="00061875">
      <w:pPr>
        <w:jc w:val="center"/>
        <w:rPr>
          <w:sz w:val="22"/>
        </w:rPr>
      </w:pPr>
      <w:bookmarkStart w:id="0" w:name="documentMeta"/>
    </w:p>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2520"/>
        <w:gridCol w:w="7562"/>
      </w:tblGrid>
      <w:tr w:rsidR="00061875" w14:paraId="631B3A5E" w14:textId="77777777">
        <w:tc>
          <w:tcPr>
            <w:tcW w:w="2000" w:type="dxa"/>
          </w:tcPr>
          <w:p w14:paraId="4B784C39" w14:textId="77777777" w:rsidR="00061875" w:rsidRDefault="00230B88">
            <w:pPr>
              <w:spacing w:before="100"/>
              <w:rPr>
                <w:sz w:val="22"/>
              </w:rPr>
            </w:pPr>
            <w:r>
              <w:rPr>
                <w:sz w:val="22"/>
              </w:rPr>
              <w:t>Instans</w:t>
            </w:r>
          </w:p>
        </w:tc>
        <w:tc>
          <w:tcPr>
            <w:tcW w:w="6000" w:type="dxa"/>
          </w:tcPr>
          <w:p w14:paraId="6110F887" w14:textId="77777777" w:rsidR="00061875" w:rsidRDefault="00230B88">
            <w:pPr>
              <w:spacing w:before="100"/>
              <w:rPr>
                <w:sz w:val="22"/>
              </w:rPr>
            </w:pPr>
            <w:r>
              <w:rPr>
                <w:sz w:val="22"/>
              </w:rPr>
              <w:t>Norges Høyesterett – Dom</w:t>
            </w:r>
          </w:p>
        </w:tc>
      </w:tr>
      <w:tr w:rsidR="00061875" w14:paraId="68B41083" w14:textId="77777777">
        <w:tc>
          <w:tcPr>
            <w:tcW w:w="2000" w:type="dxa"/>
          </w:tcPr>
          <w:p w14:paraId="269B147F" w14:textId="77777777" w:rsidR="00061875" w:rsidRDefault="00230B88">
            <w:pPr>
              <w:spacing w:before="100"/>
              <w:rPr>
                <w:sz w:val="22"/>
              </w:rPr>
            </w:pPr>
            <w:r>
              <w:rPr>
                <w:sz w:val="22"/>
              </w:rPr>
              <w:t>Dato</w:t>
            </w:r>
          </w:p>
        </w:tc>
        <w:tc>
          <w:tcPr>
            <w:tcW w:w="6000" w:type="dxa"/>
          </w:tcPr>
          <w:p w14:paraId="266E18A4" w14:textId="77777777" w:rsidR="00061875" w:rsidRDefault="00230B88">
            <w:pPr>
              <w:spacing w:before="100"/>
              <w:rPr>
                <w:sz w:val="22"/>
              </w:rPr>
            </w:pPr>
            <w:r>
              <w:rPr>
                <w:sz w:val="22"/>
              </w:rPr>
              <w:t>2017-12-14</w:t>
            </w:r>
          </w:p>
        </w:tc>
      </w:tr>
      <w:tr w:rsidR="00061875" w14:paraId="61F3261E" w14:textId="77777777">
        <w:tc>
          <w:tcPr>
            <w:tcW w:w="2000" w:type="dxa"/>
          </w:tcPr>
          <w:p w14:paraId="5EEA4FA0" w14:textId="77777777" w:rsidR="00061875" w:rsidRDefault="00230B88">
            <w:pPr>
              <w:spacing w:before="100"/>
              <w:rPr>
                <w:sz w:val="22"/>
              </w:rPr>
            </w:pPr>
            <w:r>
              <w:rPr>
                <w:sz w:val="22"/>
              </w:rPr>
              <w:t>Publisert</w:t>
            </w:r>
          </w:p>
        </w:tc>
        <w:tc>
          <w:tcPr>
            <w:tcW w:w="6000" w:type="dxa"/>
          </w:tcPr>
          <w:p w14:paraId="5DFD8564" w14:textId="77777777" w:rsidR="00061875" w:rsidRDefault="00230B88">
            <w:pPr>
              <w:spacing w:before="100"/>
              <w:rPr>
                <w:sz w:val="22"/>
              </w:rPr>
            </w:pPr>
            <w:r>
              <w:rPr>
                <w:sz w:val="22"/>
              </w:rPr>
              <w:t>HR-2017-2375-A</w:t>
            </w:r>
          </w:p>
        </w:tc>
      </w:tr>
      <w:tr w:rsidR="00061875" w14:paraId="54CB349A" w14:textId="77777777">
        <w:tc>
          <w:tcPr>
            <w:tcW w:w="2000" w:type="dxa"/>
          </w:tcPr>
          <w:p w14:paraId="480A301A" w14:textId="77777777" w:rsidR="00061875" w:rsidRDefault="00230B88">
            <w:pPr>
              <w:spacing w:before="100"/>
              <w:rPr>
                <w:sz w:val="22"/>
              </w:rPr>
            </w:pPr>
            <w:r>
              <w:rPr>
                <w:sz w:val="22"/>
              </w:rPr>
              <w:t>Stikkord</w:t>
            </w:r>
          </w:p>
        </w:tc>
        <w:tc>
          <w:tcPr>
            <w:tcW w:w="6000" w:type="dxa"/>
          </w:tcPr>
          <w:p w14:paraId="49E4422A" w14:textId="77777777" w:rsidR="00061875" w:rsidRDefault="00230B88">
            <w:pPr>
              <w:spacing w:before="100"/>
              <w:rPr>
                <w:sz w:val="22"/>
              </w:rPr>
            </w:pPr>
            <w:r>
              <w:rPr>
                <w:sz w:val="22"/>
              </w:rPr>
              <w:t>(</w:t>
            </w:r>
            <w:proofErr w:type="spellStart"/>
            <w:r>
              <w:rPr>
                <w:sz w:val="22"/>
              </w:rPr>
              <w:t>Ulvesund</w:t>
            </w:r>
            <w:proofErr w:type="spellEnd"/>
            <w:r>
              <w:rPr>
                <w:sz w:val="22"/>
              </w:rPr>
              <w:t>) Erstatningsrett. Informasjonsplikt. Daglig leders erstatningsansvar.</w:t>
            </w:r>
          </w:p>
        </w:tc>
      </w:tr>
      <w:tr w:rsidR="00061875" w14:paraId="2E994949" w14:textId="77777777">
        <w:tc>
          <w:tcPr>
            <w:tcW w:w="2000" w:type="dxa"/>
          </w:tcPr>
          <w:p w14:paraId="12ADCEA4" w14:textId="77777777" w:rsidR="00061875" w:rsidRDefault="00230B88">
            <w:pPr>
              <w:spacing w:before="100"/>
              <w:rPr>
                <w:sz w:val="22"/>
              </w:rPr>
            </w:pPr>
            <w:r>
              <w:rPr>
                <w:sz w:val="22"/>
              </w:rPr>
              <w:t>Sammendrag</w:t>
            </w:r>
          </w:p>
        </w:tc>
        <w:tc>
          <w:tcPr>
            <w:tcW w:w="6000" w:type="dxa"/>
          </w:tcPr>
          <w:p w14:paraId="30DD2320" w14:textId="77777777" w:rsidR="00061875" w:rsidRDefault="00230B88">
            <w:pPr>
              <w:spacing w:before="100"/>
              <w:rPr>
                <w:sz w:val="22"/>
              </w:rPr>
            </w:pPr>
            <w:r>
              <w:rPr>
                <w:sz w:val="22"/>
              </w:rPr>
              <w:t xml:space="preserve">En underleverandør til et skipsverft organisert som aksjeselskap hadde levert og installert utstyr på kreditt frem til verftet gikk konkurs. Underleverandøren reiste erstatningskrav mot verftets daglige leder, jf. </w:t>
            </w:r>
            <w:hyperlink r:id="rId7" w:anchor="reference/lov/1997-06-13-44/§17-1" w:history="1">
              <w:r>
                <w:rPr>
                  <w:sz w:val="22"/>
                </w:rPr>
                <w:t>aksjeloven § 17-1</w:t>
              </w:r>
            </w:hyperlink>
            <w:r>
              <w:rPr>
                <w:sz w:val="22"/>
              </w:rPr>
              <w:t xml:space="preserve">. Høyesterett uttalte at det følger av det alminnelige ulovfestede kravet om aktsomhet og lojalitet mellom kontraktsparter at et insolvent selskap som mottar nye leveranser på kreditt, forventes å gjøre medkontrahenten oppmerksom på det, dersom det har inntrådt en svikt i selskapets økonomi som innebærer at det ikke regner med å kunne gjøre opp for de nye leveransene ved forfall. Det personlige ansvaret for ledelsen etter </w:t>
            </w:r>
            <w:hyperlink r:id="rId8" w:anchor="reference/lov/1997-06-13-44/§17-1" w:history="1">
              <w:r>
                <w:rPr>
                  <w:sz w:val="22"/>
                </w:rPr>
                <w:t>aksjeloven § 17-1</w:t>
              </w:r>
            </w:hyperlink>
            <w:r>
              <w:rPr>
                <w:sz w:val="22"/>
              </w:rPr>
              <w:t xml:space="preserve"> rekker imidlertid ikke nødvendigvis like langt som den kontraktsrettslige varslingsplikten for selskapet. Høyesterett kom allikevel til at daglig leder var erstatningsansvarlig. Det ble lagt avgjørende vekt på at han ikke hadde oppfylt sin plikt etter </w:t>
            </w:r>
            <w:hyperlink r:id="rId9" w:anchor="reference/lov/1997-06-13-44/§6-14" w:history="1">
              <w:r>
                <w:rPr>
                  <w:sz w:val="22"/>
                </w:rPr>
                <w:t>aksjeloven § 6-14</w:t>
              </w:r>
            </w:hyperlink>
            <w:r>
              <w:rPr>
                <w:sz w:val="22"/>
              </w:rPr>
              <w:t xml:space="preserve"> til å sørge for tilfredsstillende regnskaps- og rapporteringsrutiner. Disse forsømmelsene satte ham og den øvrige ledelsen ute av stand til å forvalte selskapets interesser på en forsvarlig måte, og til å ivareta hensynet til selskapets kreditorer i forbindelse med insolvensen. (</w:t>
            </w:r>
            <w:proofErr w:type="spellStart"/>
            <w:r>
              <w:rPr>
                <w:sz w:val="22"/>
              </w:rPr>
              <w:t>Rt</w:t>
            </w:r>
            <w:proofErr w:type="spellEnd"/>
            <w:r>
              <w:rPr>
                <w:sz w:val="22"/>
              </w:rPr>
              <w:t>-sammendrag)</w:t>
            </w:r>
          </w:p>
        </w:tc>
      </w:tr>
      <w:tr w:rsidR="00061875" w14:paraId="0D2DCE05" w14:textId="77777777">
        <w:tc>
          <w:tcPr>
            <w:tcW w:w="2000" w:type="dxa"/>
          </w:tcPr>
          <w:p w14:paraId="499D3402" w14:textId="77777777" w:rsidR="00061875" w:rsidRDefault="00230B88">
            <w:pPr>
              <w:spacing w:before="100"/>
              <w:rPr>
                <w:sz w:val="22"/>
              </w:rPr>
            </w:pPr>
            <w:r>
              <w:rPr>
                <w:sz w:val="22"/>
              </w:rPr>
              <w:t>Saksgang</w:t>
            </w:r>
          </w:p>
        </w:tc>
        <w:tc>
          <w:tcPr>
            <w:tcW w:w="6000" w:type="dxa"/>
          </w:tcPr>
          <w:p w14:paraId="2EE11D4D" w14:textId="77777777" w:rsidR="00061875" w:rsidRDefault="00230B88">
            <w:pPr>
              <w:spacing w:before="100"/>
              <w:rPr>
                <w:sz w:val="22"/>
              </w:rPr>
            </w:pPr>
            <w:r>
              <w:rPr>
                <w:sz w:val="22"/>
              </w:rPr>
              <w:t>Fjordane tingrett TFJOR-2014-146631 – Borgarting lagmannsrett LB-2015-180304 – Høyesterett HR-2017-2375-A, (sak nr. 2017/680), sivil sak, anke over dom.</w:t>
            </w:r>
          </w:p>
        </w:tc>
      </w:tr>
      <w:tr w:rsidR="00061875" w14:paraId="1D009854" w14:textId="77777777">
        <w:tc>
          <w:tcPr>
            <w:tcW w:w="2000" w:type="dxa"/>
          </w:tcPr>
          <w:p w14:paraId="31454E63" w14:textId="77777777" w:rsidR="00061875" w:rsidRDefault="00230B88">
            <w:pPr>
              <w:spacing w:before="100"/>
              <w:rPr>
                <w:sz w:val="22"/>
              </w:rPr>
            </w:pPr>
            <w:r>
              <w:rPr>
                <w:sz w:val="22"/>
              </w:rPr>
              <w:t>Parter</w:t>
            </w:r>
          </w:p>
        </w:tc>
        <w:tc>
          <w:tcPr>
            <w:tcW w:w="6000" w:type="dxa"/>
          </w:tcPr>
          <w:p w14:paraId="4ADD0B20" w14:textId="77777777" w:rsidR="00061875" w:rsidRDefault="00230B88">
            <w:pPr>
              <w:spacing w:before="100"/>
              <w:rPr>
                <w:sz w:val="22"/>
              </w:rPr>
            </w:pPr>
            <w:r>
              <w:rPr>
                <w:sz w:val="22"/>
              </w:rPr>
              <w:t xml:space="preserve">A (advokat Klaus Henrik Wiese-Hansen – til prøve) mot </w:t>
            </w:r>
            <w:proofErr w:type="spellStart"/>
            <w:r>
              <w:rPr>
                <w:sz w:val="22"/>
              </w:rPr>
              <w:t>Ulvesund</w:t>
            </w:r>
            <w:proofErr w:type="spellEnd"/>
            <w:r>
              <w:rPr>
                <w:sz w:val="22"/>
              </w:rPr>
              <w:t xml:space="preserve"> Elektro AS (advokat Helge Aarseth).</w:t>
            </w:r>
          </w:p>
        </w:tc>
      </w:tr>
      <w:tr w:rsidR="00061875" w14:paraId="7377A913" w14:textId="77777777">
        <w:tc>
          <w:tcPr>
            <w:tcW w:w="2000" w:type="dxa"/>
          </w:tcPr>
          <w:p w14:paraId="3AE08FDB" w14:textId="77777777" w:rsidR="00061875" w:rsidRDefault="00230B88">
            <w:pPr>
              <w:spacing w:before="100"/>
              <w:rPr>
                <w:sz w:val="22"/>
              </w:rPr>
            </w:pPr>
            <w:r>
              <w:rPr>
                <w:sz w:val="22"/>
              </w:rPr>
              <w:t>Forfatter</w:t>
            </w:r>
          </w:p>
        </w:tc>
        <w:tc>
          <w:tcPr>
            <w:tcW w:w="6000" w:type="dxa"/>
          </w:tcPr>
          <w:p w14:paraId="53FB8705" w14:textId="77777777" w:rsidR="00061875" w:rsidRDefault="00230B88">
            <w:pPr>
              <w:spacing w:before="100"/>
              <w:rPr>
                <w:sz w:val="22"/>
              </w:rPr>
            </w:pPr>
            <w:r>
              <w:rPr>
                <w:sz w:val="22"/>
              </w:rPr>
              <w:t>Dommerne Bårdsen, Høgetveit Berg, Ringnes, Indreberg, Matningsdal.</w:t>
            </w:r>
          </w:p>
        </w:tc>
      </w:tr>
      <w:tr w:rsidR="00061875" w14:paraId="69380EB7" w14:textId="77777777">
        <w:tc>
          <w:tcPr>
            <w:tcW w:w="2000" w:type="dxa"/>
          </w:tcPr>
          <w:p w14:paraId="509E2B12" w14:textId="77777777" w:rsidR="00061875" w:rsidRDefault="00230B88">
            <w:pPr>
              <w:spacing w:before="100"/>
              <w:rPr>
                <w:sz w:val="22"/>
              </w:rPr>
            </w:pPr>
            <w:r>
              <w:rPr>
                <w:sz w:val="22"/>
              </w:rPr>
              <w:t>Sist oppdatert</w:t>
            </w:r>
          </w:p>
        </w:tc>
        <w:tc>
          <w:tcPr>
            <w:tcW w:w="6000" w:type="dxa"/>
          </w:tcPr>
          <w:p w14:paraId="5EE74467" w14:textId="77777777" w:rsidR="00061875" w:rsidRDefault="00230B88">
            <w:pPr>
              <w:spacing w:before="100"/>
              <w:rPr>
                <w:sz w:val="22"/>
              </w:rPr>
            </w:pPr>
            <w:r>
              <w:rPr>
                <w:sz w:val="22"/>
              </w:rPr>
              <w:t>2020-10-15</w:t>
            </w:r>
          </w:p>
        </w:tc>
      </w:tr>
    </w:tbl>
    <w:p w14:paraId="26996084" w14:textId="77777777" w:rsidR="00061875" w:rsidRDefault="00061875">
      <w:pPr>
        <w:spacing w:before="100"/>
        <w:jc w:val="center"/>
        <w:rPr>
          <w:sz w:val="22"/>
        </w:rPr>
      </w:pPr>
    </w:p>
    <w:p w14:paraId="65188037" w14:textId="77777777" w:rsidR="00061875" w:rsidRDefault="00230B88">
      <w:pPr>
        <w:jc w:val="center"/>
        <w:rPr>
          <w:sz w:val="22"/>
        </w:rPr>
      </w:pPr>
      <w:r>
        <w:pict w14:anchorId="26AA6039">
          <v:rect id="_x0000_i1025" style="width:493.3pt;height:2.25pt" o:hralign="center" o:hrstd="t" o:hrnoshade="t" o:hr="t" fillcolor="#cd0c1a" stroked="f">
            <v:path strokeok="f"/>
          </v:rect>
        </w:pict>
      </w:r>
    </w:p>
    <w:p w14:paraId="77FBBD21" w14:textId="77777777" w:rsidR="00061875" w:rsidRDefault="00230B88">
      <w:pPr>
        <w:jc w:val="center"/>
        <w:rPr>
          <w:sz w:val="22"/>
        </w:rPr>
      </w:pPr>
      <w:r>
        <w:rPr>
          <w:sz w:val="22"/>
        </w:rPr>
        <w:br w:type="page"/>
      </w:r>
      <w:bookmarkEnd w:id="0"/>
    </w:p>
    <w:p w14:paraId="0F93A48F" w14:textId="77777777" w:rsidR="00061875" w:rsidRDefault="00061875">
      <w:pPr>
        <w:rPr>
          <w:sz w:val="6"/>
        </w:rPr>
      </w:pPr>
      <w:bookmarkStart w:id="1" w:name="documentBody"/>
    </w:p>
    <w:p w14:paraId="2E1CC84F"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0E6FE1D4" w14:textId="77777777">
        <w:tc>
          <w:tcPr>
            <w:tcW w:w="720" w:type="dxa"/>
            <w:noWrap/>
            <w:tcMar>
              <w:right w:w="80" w:type="dxa"/>
            </w:tcMar>
          </w:tcPr>
          <w:p w14:paraId="213D47AE" w14:textId="77777777" w:rsidR="00061875" w:rsidRDefault="00230B88">
            <w:pPr>
              <w:rPr>
                <w:sz w:val="22"/>
              </w:rPr>
            </w:pPr>
            <w:r>
              <w:rPr>
                <w:sz w:val="22"/>
              </w:rPr>
              <w:t>(1)</w:t>
            </w:r>
          </w:p>
        </w:tc>
        <w:tc>
          <w:tcPr>
            <w:tcW w:w="0" w:type="auto"/>
            <w:tcMar>
              <w:right w:w="80" w:type="dxa"/>
            </w:tcMar>
          </w:tcPr>
          <w:p w14:paraId="46F3B4E7" w14:textId="77777777" w:rsidR="00061875" w:rsidRDefault="00230B88">
            <w:pPr>
              <w:rPr>
                <w:sz w:val="22"/>
              </w:rPr>
            </w:pPr>
            <w:r>
              <w:rPr>
                <w:sz w:val="22"/>
              </w:rPr>
              <w:t xml:space="preserve">Dommer </w:t>
            </w:r>
            <w:r>
              <w:rPr>
                <w:b/>
                <w:sz w:val="22"/>
              </w:rPr>
              <w:t>Bårdsen:</w:t>
            </w:r>
            <w:r>
              <w:rPr>
                <w:sz w:val="22"/>
              </w:rPr>
              <w:t xml:space="preserve"> Saken gjelder personlig erstatningsansvar for en daglig leder i et aksjeselskap, for tap som en kreditor mener å ha lidt på grunn av mangelfull informasjon om sviktende økonomi i selskapet, jf. </w:t>
            </w:r>
            <w:hyperlink r:id="rId10" w:anchor="reference/lov/1997-06-13-44/§17-1" w:history="1">
              <w:r>
                <w:rPr>
                  <w:sz w:val="22"/>
                </w:rPr>
                <w:t>aksjeloven § 17-1</w:t>
              </w:r>
            </w:hyperlink>
            <w:r>
              <w:rPr>
                <w:sz w:val="22"/>
              </w:rPr>
              <w:t xml:space="preserve"> første ledd.</w:t>
            </w:r>
          </w:p>
        </w:tc>
      </w:tr>
    </w:tbl>
    <w:p w14:paraId="753748AC" w14:textId="77777777" w:rsidR="00061875" w:rsidRDefault="00061875">
      <w:pPr>
        <w:rPr>
          <w:sz w:val="6"/>
        </w:rPr>
      </w:pPr>
    </w:p>
    <w:p w14:paraId="64EBD356"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4510DECF" w14:textId="77777777">
        <w:tc>
          <w:tcPr>
            <w:tcW w:w="720" w:type="dxa"/>
            <w:noWrap/>
            <w:tcMar>
              <w:right w:w="80" w:type="dxa"/>
            </w:tcMar>
          </w:tcPr>
          <w:p w14:paraId="461776F7" w14:textId="77777777" w:rsidR="00061875" w:rsidRDefault="00230B88">
            <w:pPr>
              <w:rPr>
                <w:sz w:val="22"/>
              </w:rPr>
            </w:pPr>
            <w:r>
              <w:rPr>
                <w:sz w:val="22"/>
              </w:rPr>
              <w:t>(2)</w:t>
            </w:r>
          </w:p>
        </w:tc>
        <w:tc>
          <w:tcPr>
            <w:tcW w:w="0" w:type="auto"/>
            <w:tcMar>
              <w:right w:w="80" w:type="dxa"/>
            </w:tcMar>
          </w:tcPr>
          <w:p w14:paraId="0D3BAAB7" w14:textId="77777777" w:rsidR="00061875" w:rsidRDefault="00230B88">
            <w:pPr>
              <w:rPr>
                <w:sz w:val="22"/>
              </w:rPr>
            </w:pPr>
            <w:r>
              <w:rPr>
                <w:sz w:val="22"/>
              </w:rPr>
              <w:t>Skipsverftet [Firma1] AS ([Firma1]) utførte utrustningsoppdrag av mellomstore fiske- og spesialfartøy samt ombygninger, vedlikehold og reparasjoner. Selskapet ble opprettet i 2007. Det var et datterselskap av [firma2] AS, som hadde drevet verftet siden 1922. A (A) var i den aktuelle perioden daglig leder og styremedlem i [Firma1]. Saken her knytter seg til hans stilling som daglig leder.</w:t>
            </w:r>
          </w:p>
        </w:tc>
      </w:tr>
    </w:tbl>
    <w:p w14:paraId="33408B1C" w14:textId="77777777" w:rsidR="00061875" w:rsidRDefault="00061875">
      <w:pPr>
        <w:rPr>
          <w:sz w:val="6"/>
        </w:rPr>
      </w:pPr>
    </w:p>
    <w:p w14:paraId="4E2577D4"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1CAC16C1" w14:textId="77777777">
        <w:tc>
          <w:tcPr>
            <w:tcW w:w="720" w:type="dxa"/>
            <w:noWrap/>
            <w:tcMar>
              <w:right w:w="80" w:type="dxa"/>
            </w:tcMar>
          </w:tcPr>
          <w:p w14:paraId="0E72E4DF" w14:textId="77777777" w:rsidR="00061875" w:rsidRDefault="00230B88">
            <w:pPr>
              <w:rPr>
                <w:sz w:val="22"/>
              </w:rPr>
            </w:pPr>
            <w:r>
              <w:rPr>
                <w:sz w:val="22"/>
              </w:rPr>
              <w:t>(3)</w:t>
            </w:r>
          </w:p>
        </w:tc>
        <w:tc>
          <w:tcPr>
            <w:tcW w:w="0" w:type="auto"/>
            <w:tcMar>
              <w:right w:w="80" w:type="dxa"/>
            </w:tcMar>
          </w:tcPr>
          <w:p w14:paraId="68C30538" w14:textId="77777777" w:rsidR="00061875" w:rsidRDefault="00230B88">
            <w:pPr>
              <w:rPr>
                <w:sz w:val="22"/>
              </w:rPr>
            </w:pPr>
            <w:proofErr w:type="spellStart"/>
            <w:r>
              <w:rPr>
                <w:sz w:val="22"/>
              </w:rPr>
              <w:t>Ulvesund</w:t>
            </w:r>
            <w:proofErr w:type="spellEnd"/>
            <w:r>
              <w:rPr>
                <w:sz w:val="22"/>
              </w:rPr>
              <w:t xml:space="preserve"> Elektro AS (</w:t>
            </w:r>
            <w:proofErr w:type="spellStart"/>
            <w:r>
              <w:rPr>
                <w:sz w:val="22"/>
              </w:rPr>
              <w:t>Ulvesund</w:t>
            </w:r>
            <w:proofErr w:type="spellEnd"/>
            <w:r>
              <w:rPr>
                <w:sz w:val="22"/>
              </w:rPr>
              <w:t xml:space="preserve">) og </w:t>
            </w:r>
            <w:proofErr w:type="spellStart"/>
            <w:r>
              <w:rPr>
                <w:sz w:val="22"/>
              </w:rPr>
              <w:t>Saltek</w:t>
            </w:r>
            <w:proofErr w:type="spellEnd"/>
            <w:r>
              <w:rPr>
                <w:sz w:val="22"/>
              </w:rPr>
              <w:t xml:space="preserve"> AS (</w:t>
            </w:r>
            <w:proofErr w:type="spellStart"/>
            <w:r>
              <w:rPr>
                <w:sz w:val="22"/>
              </w:rPr>
              <w:t>Saltek</w:t>
            </w:r>
            <w:proofErr w:type="spellEnd"/>
            <w:r>
              <w:rPr>
                <w:sz w:val="22"/>
              </w:rPr>
              <w:t xml:space="preserve">) var underleverandører til [Firma1]. </w:t>
            </w:r>
            <w:proofErr w:type="spellStart"/>
            <w:r>
              <w:rPr>
                <w:sz w:val="22"/>
              </w:rPr>
              <w:t>Ulvesund</w:t>
            </w:r>
            <w:proofErr w:type="spellEnd"/>
            <w:r>
              <w:rPr>
                <w:sz w:val="22"/>
              </w:rPr>
              <w:t xml:space="preserve"> leverte og installerte elektrisk utstyr og hadde samarbeidet med [Firma1og2]-selskapene siden 1990-tallet. </w:t>
            </w:r>
            <w:proofErr w:type="spellStart"/>
            <w:r>
              <w:rPr>
                <w:sz w:val="22"/>
              </w:rPr>
              <w:t>Saltek</w:t>
            </w:r>
            <w:proofErr w:type="spellEnd"/>
            <w:r>
              <w:rPr>
                <w:sz w:val="22"/>
              </w:rPr>
              <w:t xml:space="preserve"> installerer propellsystemer på skip.</w:t>
            </w:r>
          </w:p>
        </w:tc>
      </w:tr>
    </w:tbl>
    <w:p w14:paraId="10F1A2B0" w14:textId="77777777" w:rsidR="00061875" w:rsidRDefault="00061875">
      <w:pPr>
        <w:rPr>
          <w:sz w:val="6"/>
        </w:rPr>
      </w:pPr>
    </w:p>
    <w:p w14:paraId="20FAF2BC"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1516ED12" w14:textId="77777777">
        <w:tc>
          <w:tcPr>
            <w:tcW w:w="720" w:type="dxa"/>
            <w:noWrap/>
            <w:tcMar>
              <w:right w:w="80" w:type="dxa"/>
            </w:tcMar>
          </w:tcPr>
          <w:p w14:paraId="563EE3FF" w14:textId="77777777" w:rsidR="00061875" w:rsidRDefault="00230B88">
            <w:pPr>
              <w:rPr>
                <w:sz w:val="22"/>
              </w:rPr>
            </w:pPr>
            <w:r>
              <w:rPr>
                <w:sz w:val="22"/>
              </w:rPr>
              <w:t>(4)</w:t>
            </w:r>
          </w:p>
        </w:tc>
        <w:tc>
          <w:tcPr>
            <w:tcW w:w="0" w:type="auto"/>
            <w:tcMar>
              <w:right w:w="80" w:type="dxa"/>
            </w:tcMar>
          </w:tcPr>
          <w:p w14:paraId="45BD9556" w14:textId="77777777" w:rsidR="00061875" w:rsidRDefault="00230B88">
            <w:pPr>
              <w:rPr>
                <w:sz w:val="22"/>
              </w:rPr>
            </w:pPr>
            <w:r>
              <w:rPr>
                <w:sz w:val="22"/>
              </w:rPr>
              <w:t xml:space="preserve">I 2010 og 2011 fikk [Firma1] i oppdrag å bygge tre båter, fisketråleren </w:t>
            </w:r>
            <w:proofErr w:type="spellStart"/>
            <w:r>
              <w:rPr>
                <w:sz w:val="22"/>
              </w:rPr>
              <w:t>X</w:t>
            </w:r>
            <w:proofErr w:type="spellEnd"/>
            <w:r>
              <w:rPr>
                <w:sz w:val="22"/>
              </w:rPr>
              <w:t xml:space="preserve"> (bygg nr. 34), kjemikalietankeren Y (bygg nr. 35) og fisketråleren Z (bygg nr. 36). </w:t>
            </w:r>
            <w:proofErr w:type="spellStart"/>
            <w:r>
              <w:rPr>
                <w:sz w:val="22"/>
              </w:rPr>
              <w:t>Ulvesund</w:t>
            </w:r>
            <w:proofErr w:type="spellEnd"/>
            <w:r>
              <w:rPr>
                <w:sz w:val="22"/>
              </w:rPr>
              <w:t xml:space="preserve"> og </w:t>
            </w:r>
            <w:proofErr w:type="spellStart"/>
            <w:r>
              <w:rPr>
                <w:sz w:val="22"/>
              </w:rPr>
              <w:t>Saltek</w:t>
            </w:r>
            <w:proofErr w:type="spellEnd"/>
            <w:r>
              <w:rPr>
                <w:sz w:val="22"/>
              </w:rPr>
              <w:t xml:space="preserve"> ble engasjert som underleverandører på alle tre båtene. </w:t>
            </w:r>
            <w:proofErr w:type="spellStart"/>
            <w:r>
              <w:rPr>
                <w:sz w:val="22"/>
              </w:rPr>
              <w:t>X</w:t>
            </w:r>
            <w:proofErr w:type="spellEnd"/>
            <w:r>
              <w:rPr>
                <w:sz w:val="22"/>
              </w:rPr>
              <w:t xml:space="preserve"> ble påbegynt i 2010, men ikke ferdigstilt og overlevert til reder før 9. august 2011. Y og Z ble påbegynt i 2011 og overlevert til reder i oktober det samme året. </w:t>
            </w:r>
            <w:proofErr w:type="spellStart"/>
            <w:r>
              <w:rPr>
                <w:sz w:val="22"/>
              </w:rPr>
              <w:t>Ulvesund</w:t>
            </w:r>
            <w:proofErr w:type="spellEnd"/>
            <w:r>
              <w:rPr>
                <w:sz w:val="22"/>
              </w:rPr>
              <w:t xml:space="preserve"> utførte i 2011 også noen mindre arbeider på båten Æ.</w:t>
            </w:r>
          </w:p>
        </w:tc>
      </w:tr>
    </w:tbl>
    <w:p w14:paraId="2B918370" w14:textId="77777777" w:rsidR="00061875" w:rsidRDefault="00061875">
      <w:pPr>
        <w:rPr>
          <w:sz w:val="6"/>
        </w:rPr>
      </w:pPr>
    </w:p>
    <w:p w14:paraId="086C2680"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05C93FBD" w14:textId="77777777">
        <w:tc>
          <w:tcPr>
            <w:tcW w:w="720" w:type="dxa"/>
            <w:noWrap/>
            <w:tcMar>
              <w:right w:w="80" w:type="dxa"/>
            </w:tcMar>
          </w:tcPr>
          <w:p w14:paraId="380DA290" w14:textId="77777777" w:rsidR="00061875" w:rsidRDefault="00230B88">
            <w:pPr>
              <w:rPr>
                <w:sz w:val="22"/>
              </w:rPr>
            </w:pPr>
            <w:r>
              <w:rPr>
                <w:sz w:val="22"/>
              </w:rPr>
              <w:t>(5)</w:t>
            </w:r>
          </w:p>
        </w:tc>
        <w:tc>
          <w:tcPr>
            <w:tcW w:w="0" w:type="auto"/>
            <w:tcMar>
              <w:right w:w="80" w:type="dxa"/>
            </w:tcMar>
          </w:tcPr>
          <w:p w14:paraId="7E2252A3" w14:textId="77777777" w:rsidR="00061875" w:rsidRDefault="00230B88">
            <w:pPr>
              <w:rPr>
                <w:sz w:val="22"/>
              </w:rPr>
            </w:pPr>
            <w:r>
              <w:rPr>
                <w:sz w:val="22"/>
              </w:rPr>
              <w:t>Økonomien og økonomistyringen i de tre byggeprosjektene var meget dårlig. Etter styremøte 26. oktober 2011, kort tid etter overlevering av Y og Z, ble det begjært oppbud i [Firma1]. Konkurs ble åpnet 31. oktober 2011. Samlede meldte krav var omkring 28 millioner kroner. Det er utbetalt dividende til uprioriterte kreditorer med 4,84 prosent.</w:t>
            </w:r>
          </w:p>
        </w:tc>
      </w:tr>
    </w:tbl>
    <w:p w14:paraId="149EE757" w14:textId="77777777" w:rsidR="00061875" w:rsidRDefault="00061875">
      <w:pPr>
        <w:rPr>
          <w:sz w:val="6"/>
        </w:rPr>
      </w:pPr>
    </w:p>
    <w:p w14:paraId="2F1DB87E"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061875" w14:paraId="326E81CD" w14:textId="77777777">
        <w:tc>
          <w:tcPr>
            <w:tcW w:w="720" w:type="dxa"/>
            <w:noWrap/>
            <w:tcMar>
              <w:right w:w="80" w:type="dxa"/>
            </w:tcMar>
          </w:tcPr>
          <w:p w14:paraId="223B82FB" w14:textId="77777777" w:rsidR="00061875" w:rsidRDefault="00230B88">
            <w:pPr>
              <w:rPr>
                <w:sz w:val="22"/>
              </w:rPr>
            </w:pPr>
            <w:r>
              <w:rPr>
                <w:sz w:val="22"/>
              </w:rPr>
              <w:t>(6)</w:t>
            </w:r>
          </w:p>
        </w:tc>
        <w:tc>
          <w:tcPr>
            <w:tcW w:w="0" w:type="auto"/>
            <w:tcMar>
              <w:right w:w="80" w:type="dxa"/>
            </w:tcMar>
          </w:tcPr>
          <w:p w14:paraId="601C9C6A" w14:textId="77777777" w:rsidR="00061875" w:rsidRDefault="00230B88">
            <w:pPr>
              <w:rPr>
                <w:sz w:val="6"/>
              </w:rPr>
            </w:pPr>
            <w:proofErr w:type="spellStart"/>
            <w:r>
              <w:rPr>
                <w:sz w:val="22"/>
              </w:rPr>
              <w:t>Ulvesund</w:t>
            </w:r>
            <w:proofErr w:type="spellEnd"/>
            <w:r>
              <w:rPr>
                <w:sz w:val="22"/>
              </w:rPr>
              <w:t xml:space="preserve"> og </w:t>
            </w:r>
            <w:proofErr w:type="spellStart"/>
            <w:r>
              <w:rPr>
                <w:sz w:val="22"/>
              </w:rPr>
              <w:t>Saltek</w:t>
            </w:r>
            <w:proofErr w:type="spellEnd"/>
            <w:r>
              <w:rPr>
                <w:sz w:val="22"/>
              </w:rPr>
              <w:t xml:space="preserve"> tok 10. september 2014 ut stevning ved Fjordane tingrett med krav om erstatning fra A, styreleder og ett medlem av styret. Kravet fra </w:t>
            </w:r>
            <w:proofErr w:type="spellStart"/>
            <w:r>
              <w:rPr>
                <w:sz w:val="22"/>
              </w:rPr>
              <w:t>Ulvesund</w:t>
            </w:r>
            <w:proofErr w:type="spellEnd"/>
            <w:r>
              <w:rPr>
                <w:sz w:val="22"/>
              </w:rPr>
              <w:t xml:space="preserve"> var på nesten 3,4 millioner kroner og på omkring 0,7 millioner kroner fra </w:t>
            </w:r>
            <w:proofErr w:type="spellStart"/>
            <w:r>
              <w:rPr>
                <w:sz w:val="22"/>
              </w:rPr>
              <w:t>Saltek</w:t>
            </w:r>
            <w:proofErr w:type="spellEnd"/>
            <w:r>
              <w:rPr>
                <w:sz w:val="22"/>
              </w:rPr>
              <w:t xml:space="preserve">. Under hovedforhandlingen i tingretten inngikk </w:t>
            </w:r>
            <w:proofErr w:type="spellStart"/>
            <w:r>
              <w:rPr>
                <w:sz w:val="22"/>
              </w:rPr>
              <w:t>Ulvesund</w:t>
            </w:r>
            <w:proofErr w:type="spellEnd"/>
            <w:r>
              <w:rPr>
                <w:sz w:val="22"/>
              </w:rPr>
              <w:t xml:space="preserve"> og </w:t>
            </w:r>
            <w:proofErr w:type="spellStart"/>
            <w:r>
              <w:rPr>
                <w:sz w:val="22"/>
              </w:rPr>
              <w:t>Saltek</w:t>
            </w:r>
            <w:proofErr w:type="spellEnd"/>
            <w:r>
              <w:rPr>
                <w:sz w:val="22"/>
              </w:rPr>
              <w:t xml:space="preserve"> og de to øvrige saksøkte rettsforlik. I søksmålet mot A avsa Fjordane tingrett 22. september 2015 dom med slik domsslutning:</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061875" w14:paraId="460138F5" w14:textId="77777777">
              <w:tc>
                <w:tcPr>
                  <w:tcW w:w="720" w:type="dxa"/>
                  <w:noWrap/>
                  <w:tcMar>
                    <w:right w:w="80" w:type="dxa"/>
                  </w:tcMar>
                </w:tcPr>
                <w:p w14:paraId="44A9886B" w14:textId="77777777" w:rsidR="00061875" w:rsidRDefault="00230B88">
                  <w:pPr>
                    <w:jc w:val="right"/>
                    <w:rPr>
                      <w:sz w:val="22"/>
                    </w:rPr>
                  </w:pPr>
                  <w:r>
                    <w:rPr>
                      <w:sz w:val="22"/>
                    </w:rPr>
                    <w:t>«1.</w:t>
                  </w:r>
                </w:p>
              </w:tc>
              <w:tc>
                <w:tcPr>
                  <w:tcW w:w="8786" w:type="dxa"/>
                  <w:noWrap/>
                  <w:tcMar>
                    <w:right w:w="80" w:type="dxa"/>
                  </w:tcMar>
                </w:tcPr>
                <w:p w14:paraId="36E338A7" w14:textId="77777777" w:rsidR="00061875" w:rsidRDefault="00230B88">
                  <w:pPr>
                    <w:rPr>
                      <w:sz w:val="22"/>
                    </w:rPr>
                  </w:pPr>
                  <w:r>
                    <w:rPr>
                      <w:sz w:val="22"/>
                    </w:rPr>
                    <w:t>A frifinnes.</w:t>
                  </w:r>
                </w:p>
              </w:tc>
            </w:tr>
          </w:tbl>
          <w:p w14:paraId="37F2E420" w14:textId="77777777" w:rsidR="00061875" w:rsidRDefault="00061875">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061875" w14:paraId="6E14CB31" w14:textId="77777777">
              <w:tc>
                <w:tcPr>
                  <w:tcW w:w="720" w:type="dxa"/>
                  <w:noWrap/>
                  <w:tcMar>
                    <w:right w:w="80" w:type="dxa"/>
                  </w:tcMar>
                </w:tcPr>
                <w:p w14:paraId="7C266049" w14:textId="77777777" w:rsidR="00061875" w:rsidRDefault="00230B88">
                  <w:pPr>
                    <w:jc w:val="right"/>
                    <w:rPr>
                      <w:sz w:val="22"/>
                    </w:rPr>
                  </w:pPr>
                  <w:r>
                    <w:rPr>
                      <w:sz w:val="22"/>
                    </w:rPr>
                    <w:t>2.</w:t>
                  </w:r>
                </w:p>
              </w:tc>
              <w:tc>
                <w:tcPr>
                  <w:tcW w:w="8786" w:type="dxa"/>
                  <w:noWrap/>
                  <w:tcMar>
                    <w:right w:w="80" w:type="dxa"/>
                  </w:tcMar>
                </w:tcPr>
                <w:p w14:paraId="6748C75B" w14:textId="77777777" w:rsidR="00061875" w:rsidRDefault="00230B88">
                  <w:pPr>
                    <w:rPr>
                      <w:sz w:val="22"/>
                    </w:rPr>
                  </w:pPr>
                  <w:proofErr w:type="spellStart"/>
                  <w:r>
                    <w:rPr>
                      <w:sz w:val="22"/>
                    </w:rPr>
                    <w:t>Ulvesund</w:t>
                  </w:r>
                  <w:proofErr w:type="spellEnd"/>
                  <w:r>
                    <w:rPr>
                      <w:sz w:val="22"/>
                    </w:rPr>
                    <w:t xml:space="preserve"> Elektro AS og </w:t>
                  </w:r>
                  <w:proofErr w:type="spellStart"/>
                  <w:r>
                    <w:rPr>
                      <w:sz w:val="22"/>
                    </w:rPr>
                    <w:t>Saltek</w:t>
                  </w:r>
                  <w:proofErr w:type="spellEnd"/>
                  <w:r>
                    <w:rPr>
                      <w:sz w:val="22"/>
                    </w:rPr>
                    <w:t xml:space="preserve"> AS dømmes, in </w:t>
                  </w:r>
                  <w:proofErr w:type="spellStart"/>
                  <w:r>
                    <w:rPr>
                      <w:sz w:val="22"/>
                    </w:rPr>
                    <w:t>solidum</w:t>
                  </w:r>
                  <w:proofErr w:type="spellEnd"/>
                  <w:r>
                    <w:rPr>
                      <w:sz w:val="22"/>
                    </w:rPr>
                    <w:t>, til å betale A</w:t>
                  </w:r>
                  <w:r>
                    <w:rPr>
                      <w:sz w:val="22"/>
                    </w:rPr>
                    <w:t xml:space="preserve"> sine sakskostnader med 525 958 – </w:t>
                  </w:r>
                  <w:proofErr w:type="spellStart"/>
                  <w:r>
                    <w:rPr>
                      <w:sz w:val="22"/>
                    </w:rPr>
                    <w:t>femhundreogtjuefemtusennihundreogfemtiåtte</w:t>
                  </w:r>
                  <w:proofErr w:type="spellEnd"/>
                  <w:r>
                    <w:rPr>
                      <w:sz w:val="22"/>
                    </w:rPr>
                    <w:t xml:space="preserve"> – kroner, med tillegg av lovens rente fra forfall til betaling skjer, innen 2 – to – uker etter forkynnelse av dommen.»</w:t>
                  </w:r>
                </w:p>
              </w:tc>
            </w:tr>
          </w:tbl>
          <w:p w14:paraId="2EC40E8A" w14:textId="77777777" w:rsidR="00061875" w:rsidRDefault="00061875">
            <w:pPr>
              <w:rPr>
                <w:sz w:val="22"/>
              </w:rPr>
            </w:pPr>
          </w:p>
        </w:tc>
      </w:tr>
    </w:tbl>
    <w:p w14:paraId="54765BC1" w14:textId="77777777" w:rsidR="00061875" w:rsidRDefault="00061875">
      <w:pPr>
        <w:rPr>
          <w:sz w:val="6"/>
        </w:rPr>
      </w:pPr>
    </w:p>
    <w:p w14:paraId="5BAAE37D"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061875" w14:paraId="795F3870" w14:textId="77777777">
        <w:tc>
          <w:tcPr>
            <w:tcW w:w="720" w:type="dxa"/>
            <w:noWrap/>
            <w:tcMar>
              <w:right w:w="80" w:type="dxa"/>
            </w:tcMar>
          </w:tcPr>
          <w:p w14:paraId="45E60D39" w14:textId="77777777" w:rsidR="00061875" w:rsidRDefault="00230B88">
            <w:pPr>
              <w:rPr>
                <w:sz w:val="22"/>
              </w:rPr>
            </w:pPr>
            <w:r>
              <w:rPr>
                <w:sz w:val="22"/>
              </w:rPr>
              <w:t>(7)</w:t>
            </w:r>
          </w:p>
        </w:tc>
        <w:tc>
          <w:tcPr>
            <w:tcW w:w="0" w:type="auto"/>
            <w:tcMar>
              <w:right w:w="80" w:type="dxa"/>
            </w:tcMar>
          </w:tcPr>
          <w:p w14:paraId="2596233E" w14:textId="77777777" w:rsidR="00061875" w:rsidRDefault="00230B88">
            <w:pPr>
              <w:rPr>
                <w:sz w:val="6"/>
              </w:rPr>
            </w:pPr>
            <w:proofErr w:type="spellStart"/>
            <w:r>
              <w:rPr>
                <w:sz w:val="22"/>
              </w:rPr>
              <w:t>Ulvesund</w:t>
            </w:r>
            <w:proofErr w:type="spellEnd"/>
            <w:r>
              <w:rPr>
                <w:sz w:val="22"/>
              </w:rPr>
              <w:t xml:space="preserve"> og </w:t>
            </w:r>
            <w:proofErr w:type="spellStart"/>
            <w:r>
              <w:rPr>
                <w:sz w:val="22"/>
              </w:rPr>
              <w:t>Saltek</w:t>
            </w:r>
            <w:proofErr w:type="spellEnd"/>
            <w:r>
              <w:rPr>
                <w:sz w:val="22"/>
              </w:rPr>
              <w:t xml:space="preserve"> anket dommen til Gulating lagmannsrett. Etter begjæring fra A ble saken overført til Borgarting lagmannsrett, jf. </w:t>
            </w:r>
            <w:hyperlink r:id="rId11" w:anchor="reference/lov/1915-08-13-5/§38" w:history="1">
              <w:r>
                <w:rPr>
                  <w:sz w:val="22"/>
                </w:rPr>
                <w:t>domstolloven § 38</w:t>
              </w:r>
            </w:hyperlink>
            <w:r>
              <w:rPr>
                <w:sz w:val="22"/>
              </w:rPr>
              <w:t>. Lagmannsretten avsa 17. februar 2017 dom [</w:t>
            </w:r>
            <w:hyperlink r:id="rId12" w:anchor="reference/avgjorelse/lb-2015-180304" w:history="1">
              <w:r>
                <w:rPr>
                  <w:sz w:val="22"/>
                </w:rPr>
                <w:t>LB-2015-180304</w:t>
              </w:r>
            </w:hyperlink>
            <w:r>
              <w:rPr>
                <w:sz w:val="22"/>
              </w:rPr>
              <w:t>] med slik domsslutning:</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061875" w14:paraId="3E3CFEBF" w14:textId="77777777">
              <w:tc>
                <w:tcPr>
                  <w:tcW w:w="720" w:type="dxa"/>
                  <w:noWrap/>
                  <w:tcMar>
                    <w:right w:w="80" w:type="dxa"/>
                  </w:tcMar>
                </w:tcPr>
                <w:p w14:paraId="0BD2CBB5" w14:textId="77777777" w:rsidR="00061875" w:rsidRDefault="00230B88">
                  <w:pPr>
                    <w:jc w:val="right"/>
                    <w:rPr>
                      <w:sz w:val="22"/>
                    </w:rPr>
                  </w:pPr>
                  <w:r>
                    <w:rPr>
                      <w:sz w:val="22"/>
                    </w:rPr>
                    <w:t>«1.</w:t>
                  </w:r>
                </w:p>
              </w:tc>
              <w:tc>
                <w:tcPr>
                  <w:tcW w:w="8786" w:type="dxa"/>
                  <w:noWrap/>
                  <w:tcMar>
                    <w:right w:w="80" w:type="dxa"/>
                  </w:tcMar>
                </w:tcPr>
                <w:p w14:paraId="30DD8B7D" w14:textId="77777777" w:rsidR="00061875" w:rsidRDefault="00230B88">
                  <w:pPr>
                    <w:rPr>
                      <w:sz w:val="22"/>
                    </w:rPr>
                  </w:pPr>
                  <w:r>
                    <w:rPr>
                      <w:sz w:val="22"/>
                    </w:rPr>
                    <w:t>A</w:t>
                  </w:r>
                  <w:r>
                    <w:rPr>
                      <w:sz w:val="22"/>
                    </w:rPr>
                    <w:t xml:space="preserve"> dømmes til å betale 750 000 – </w:t>
                  </w:r>
                  <w:proofErr w:type="spellStart"/>
                  <w:r>
                    <w:rPr>
                      <w:sz w:val="22"/>
                    </w:rPr>
                    <w:t>sjuhundreogfemtitusen</w:t>
                  </w:r>
                  <w:proofErr w:type="spellEnd"/>
                  <w:r>
                    <w:rPr>
                      <w:sz w:val="22"/>
                    </w:rPr>
                    <w:t xml:space="preserve"> – kroner til </w:t>
                  </w:r>
                  <w:proofErr w:type="spellStart"/>
                  <w:r>
                    <w:rPr>
                      <w:sz w:val="22"/>
                    </w:rPr>
                    <w:t>Ulvesund</w:t>
                  </w:r>
                  <w:proofErr w:type="spellEnd"/>
                  <w:r>
                    <w:rPr>
                      <w:sz w:val="22"/>
                    </w:rPr>
                    <w:t xml:space="preserve"> Elektro AS innen to uker fra forkynnelsen av denne dommen, med tillegg av lovens forsinkelsesrente fra 20. januar 2014 til betaling skjer.</w:t>
                  </w:r>
                </w:p>
              </w:tc>
            </w:tr>
          </w:tbl>
          <w:p w14:paraId="4505B20A" w14:textId="77777777" w:rsidR="00061875" w:rsidRDefault="00061875">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061875" w14:paraId="3D06240C" w14:textId="77777777">
              <w:tc>
                <w:tcPr>
                  <w:tcW w:w="720" w:type="dxa"/>
                  <w:noWrap/>
                  <w:tcMar>
                    <w:right w:w="80" w:type="dxa"/>
                  </w:tcMar>
                </w:tcPr>
                <w:p w14:paraId="068BFC82" w14:textId="77777777" w:rsidR="00061875" w:rsidRDefault="00230B88">
                  <w:pPr>
                    <w:jc w:val="right"/>
                    <w:rPr>
                      <w:sz w:val="22"/>
                    </w:rPr>
                  </w:pPr>
                  <w:r>
                    <w:rPr>
                      <w:sz w:val="22"/>
                    </w:rPr>
                    <w:t>2.</w:t>
                  </w:r>
                </w:p>
              </w:tc>
              <w:tc>
                <w:tcPr>
                  <w:tcW w:w="8786" w:type="dxa"/>
                  <w:noWrap/>
                  <w:tcMar>
                    <w:right w:w="80" w:type="dxa"/>
                  </w:tcMar>
                </w:tcPr>
                <w:p w14:paraId="4362B6A8" w14:textId="77777777" w:rsidR="00061875" w:rsidRDefault="00230B88">
                  <w:pPr>
                    <w:rPr>
                      <w:sz w:val="22"/>
                    </w:rPr>
                  </w:pPr>
                  <w:r>
                    <w:rPr>
                      <w:sz w:val="22"/>
                    </w:rPr>
                    <w:t xml:space="preserve">Sakskostnader tilkjennes ikke i saken mellom A og </w:t>
                  </w:r>
                  <w:proofErr w:type="spellStart"/>
                  <w:r>
                    <w:rPr>
                      <w:sz w:val="22"/>
                    </w:rPr>
                    <w:t>Ulvesund</w:t>
                  </w:r>
                  <w:proofErr w:type="spellEnd"/>
                  <w:r>
                    <w:rPr>
                      <w:sz w:val="22"/>
                    </w:rPr>
                    <w:t xml:space="preserve"> Elektro AS.</w:t>
                  </w:r>
                </w:p>
              </w:tc>
            </w:tr>
          </w:tbl>
          <w:p w14:paraId="2FA1B21C" w14:textId="77777777" w:rsidR="00061875" w:rsidRDefault="00061875">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061875" w14:paraId="15A4E0B3" w14:textId="77777777">
              <w:tc>
                <w:tcPr>
                  <w:tcW w:w="720" w:type="dxa"/>
                  <w:noWrap/>
                  <w:tcMar>
                    <w:right w:w="80" w:type="dxa"/>
                  </w:tcMar>
                </w:tcPr>
                <w:p w14:paraId="693A962A" w14:textId="77777777" w:rsidR="00061875" w:rsidRDefault="00230B88">
                  <w:pPr>
                    <w:jc w:val="right"/>
                    <w:rPr>
                      <w:sz w:val="22"/>
                    </w:rPr>
                  </w:pPr>
                  <w:r>
                    <w:rPr>
                      <w:sz w:val="22"/>
                    </w:rPr>
                    <w:t>3.</w:t>
                  </w:r>
                </w:p>
              </w:tc>
              <w:tc>
                <w:tcPr>
                  <w:tcW w:w="8786" w:type="dxa"/>
                  <w:noWrap/>
                  <w:tcMar>
                    <w:right w:w="80" w:type="dxa"/>
                  </w:tcMar>
                </w:tcPr>
                <w:p w14:paraId="079FB9BB" w14:textId="77777777" w:rsidR="00061875" w:rsidRDefault="00230B88">
                  <w:pPr>
                    <w:rPr>
                      <w:sz w:val="22"/>
                    </w:rPr>
                  </w:pPr>
                  <w:r>
                    <w:rPr>
                      <w:sz w:val="22"/>
                    </w:rPr>
                    <w:t xml:space="preserve">Anken fra </w:t>
                  </w:r>
                  <w:proofErr w:type="spellStart"/>
                  <w:r>
                    <w:rPr>
                      <w:sz w:val="22"/>
                    </w:rPr>
                    <w:t>Saltek</w:t>
                  </w:r>
                  <w:proofErr w:type="spellEnd"/>
                  <w:r>
                    <w:rPr>
                      <w:sz w:val="22"/>
                    </w:rPr>
                    <w:t xml:space="preserve"> AS forkastes.</w:t>
                  </w:r>
                </w:p>
              </w:tc>
            </w:tr>
          </w:tbl>
          <w:p w14:paraId="714CFB7B" w14:textId="77777777" w:rsidR="00061875" w:rsidRDefault="00061875">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061875" w14:paraId="4492FCA3" w14:textId="77777777">
              <w:tc>
                <w:tcPr>
                  <w:tcW w:w="720" w:type="dxa"/>
                  <w:noWrap/>
                  <w:tcMar>
                    <w:right w:w="80" w:type="dxa"/>
                  </w:tcMar>
                </w:tcPr>
                <w:p w14:paraId="31589053" w14:textId="77777777" w:rsidR="00061875" w:rsidRDefault="00230B88">
                  <w:pPr>
                    <w:jc w:val="right"/>
                    <w:rPr>
                      <w:sz w:val="22"/>
                    </w:rPr>
                  </w:pPr>
                  <w:r>
                    <w:rPr>
                      <w:sz w:val="22"/>
                    </w:rPr>
                    <w:t>4.</w:t>
                  </w:r>
                </w:p>
              </w:tc>
              <w:tc>
                <w:tcPr>
                  <w:tcW w:w="8786" w:type="dxa"/>
                  <w:noWrap/>
                  <w:tcMar>
                    <w:right w:w="80" w:type="dxa"/>
                  </w:tcMar>
                </w:tcPr>
                <w:p w14:paraId="2DA596B2" w14:textId="77777777" w:rsidR="00061875" w:rsidRDefault="00230B88">
                  <w:pPr>
                    <w:rPr>
                      <w:sz w:val="22"/>
                    </w:rPr>
                  </w:pPr>
                  <w:r>
                    <w:rPr>
                      <w:sz w:val="22"/>
                    </w:rPr>
                    <w:t xml:space="preserve">I sakskostnader for lagmannsretten betaler </w:t>
                  </w:r>
                  <w:proofErr w:type="spellStart"/>
                  <w:r>
                    <w:rPr>
                      <w:sz w:val="22"/>
                    </w:rPr>
                    <w:t>Saltek</w:t>
                  </w:r>
                  <w:proofErr w:type="spellEnd"/>
                  <w:r>
                    <w:rPr>
                      <w:sz w:val="22"/>
                    </w:rPr>
                    <w:t xml:space="preserve"> AS til A 100 000 – etthundretusen – kroner innen to uker fra dommens forkynnelse.</w:t>
                  </w:r>
                </w:p>
              </w:tc>
            </w:tr>
          </w:tbl>
          <w:p w14:paraId="55F2C81D" w14:textId="77777777" w:rsidR="00061875" w:rsidRDefault="00061875">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061875" w14:paraId="73D28D44" w14:textId="77777777">
              <w:tc>
                <w:tcPr>
                  <w:tcW w:w="720" w:type="dxa"/>
                  <w:noWrap/>
                  <w:tcMar>
                    <w:right w:w="80" w:type="dxa"/>
                  </w:tcMar>
                </w:tcPr>
                <w:p w14:paraId="5DF3E4A3" w14:textId="77777777" w:rsidR="00061875" w:rsidRDefault="00230B88">
                  <w:pPr>
                    <w:jc w:val="right"/>
                    <w:rPr>
                      <w:sz w:val="22"/>
                    </w:rPr>
                  </w:pPr>
                  <w:r>
                    <w:rPr>
                      <w:sz w:val="22"/>
                    </w:rPr>
                    <w:t>5.</w:t>
                  </w:r>
                </w:p>
              </w:tc>
              <w:tc>
                <w:tcPr>
                  <w:tcW w:w="8786" w:type="dxa"/>
                  <w:noWrap/>
                  <w:tcMar>
                    <w:right w:w="80" w:type="dxa"/>
                  </w:tcMar>
                </w:tcPr>
                <w:p w14:paraId="709734D4" w14:textId="77777777" w:rsidR="00061875" w:rsidRDefault="00230B88">
                  <w:pPr>
                    <w:rPr>
                      <w:sz w:val="22"/>
                    </w:rPr>
                  </w:pPr>
                  <w:r>
                    <w:rPr>
                      <w:sz w:val="22"/>
                    </w:rPr>
                    <w:t xml:space="preserve">I sakskostnader for tingretten betaler </w:t>
                  </w:r>
                  <w:proofErr w:type="spellStart"/>
                  <w:r>
                    <w:rPr>
                      <w:sz w:val="22"/>
                    </w:rPr>
                    <w:t>Saltek</w:t>
                  </w:r>
                  <w:proofErr w:type="spellEnd"/>
                  <w:r>
                    <w:rPr>
                      <w:sz w:val="22"/>
                    </w:rPr>
                    <w:t xml:space="preserve"> AS til A 200 000 – tohundretusen – kroner innen to uker fra dommens forkynnelse.»</w:t>
                  </w:r>
                </w:p>
              </w:tc>
            </w:tr>
          </w:tbl>
          <w:p w14:paraId="6F826B67" w14:textId="77777777" w:rsidR="00061875" w:rsidRDefault="00061875">
            <w:pPr>
              <w:rPr>
                <w:sz w:val="22"/>
              </w:rPr>
            </w:pPr>
          </w:p>
        </w:tc>
      </w:tr>
    </w:tbl>
    <w:p w14:paraId="550521CA" w14:textId="77777777" w:rsidR="00061875" w:rsidRDefault="00061875">
      <w:pPr>
        <w:rPr>
          <w:sz w:val="6"/>
        </w:rPr>
      </w:pPr>
    </w:p>
    <w:p w14:paraId="40EE1B06"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5B164D78" w14:textId="77777777">
        <w:tc>
          <w:tcPr>
            <w:tcW w:w="720" w:type="dxa"/>
            <w:noWrap/>
            <w:tcMar>
              <w:right w:w="80" w:type="dxa"/>
            </w:tcMar>
          </w:tcPr>
          <w:p w14:paraId="098F8A74" w14:textId="77777777" w:rsidR="00061875" w:rsidRDefault="00230B88">
            <w:pPr>
              <w:rPr>
                <w:sz w:val="22"/>
              </w:rPr>
            </w:pPr>
            <w:r>
              <w:rPr>
                <w:sz w:val="22"/>
              </w:rPr>
              <w:t>(8)</w:t>
            </w:r>
          </w:p>
        </w:tc>
        <w:tc>
          <w:tcPr>
            <w:tcW w:w="0" w:type="auto"/>
            <w:tcMar>
              <w:right w:w="80" w:type="dxa"/>
            </w:tcMar>
          </w:tcPr>
          <w:p w14:paraId="62BF2C60" w14:textId="77777777" w:rsidR="00061875" w:rsidRDefault="00230B88">
            <w:pPr>
              <w:rPr>
                <w:sz w:val="22"/>
              </w:rPr>
            </w:pPr>
            <w:r>
              <w:rPr>
                <w:sz w:val="22"/>
              </w:rPr>
              <w:t>A</w:t>
            </w:r>
            <w:r>
              <w:rPr>
                <w:sz w:val="22"/>
              </w:rPr>
              <w:t xml:space="preserve"> har anket til Høyesterett over lagmannsrettens dom, domsslutningen punkt 1 og 2. Anken gjelder rettsanvendelsen og bevisbedømmelsen. Ved Høyesteretts ankeutvalgs beslutning 23. mai 2017 er anken tillatt fremmet bare «for så vidt gjelder spørsmålet om det foreligger ansvarsgrunnlag». Det er innhentet noen nye forklaringer i forbindelse med Høyesteretts behandling. For øvrig står saken, så </w:t>
            </w:r>
            <w:r>
              <w:rPr>
                <w:sz w:val="22"/>
              </w:rPr>
              <w:lastRenderedPageBreak/>
              <w:t>langt den er tillatt fremmet, i samme stilling som for lagmannsretten.</w:t>
            </w:r>
          </w:p>
        </w:tc>
      </w:tr>
    </w:tbl>
    <w:p w14:paraId="01A6D255" w14:textId="77777777" w:rsidR="00061875" w:rsidRDefault="00061875">
      <w:pPr>
        <w:rPr>
          <w:sz w:val="6"/>
        </w:rPr>
      </w:pPr>
    </w:p>
    <w:p w14:paraId="77DFC345"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5E5ACB76" w14:textId="77777777">
        <w:tc>
          <w:tcPr>
            <w:tcW w:w="720" w:type="dxa"/>
            <w:noWrap/>
            <w:tcMar>
              <w:right w:w="80" w:type="dxa"/>
            </w:tcMar>
          </w:tcPr>
          <w:p w14:paraId="5E531757" w14:textId="77777777" w:rsidR="00061875" w:rsidRDefault="00230B88">
            <w:pPr>
              <w:rPr>
                <w:sz w:val="22"/>
              </w:rPr>
            </w:pPr>
            <w:r>
              <w:rPr>
                <w:sz w:val="22"/>
              </w:rPr>
              <w:t>(9)</w:t>
            </w:r>
          </w:p>
        </w:tc>
        <w:tc>
          <w:tcPr>
            <w:tcW w:w="0" w:type="auto"/>
            <w:tcMar>
              <w:right w:w="80" w:type="dxa"/>
            </w:tcMar>
          </w:tcPr>
          <w:p w14:paraId="34B351ED" w14:textId="77777777" w:rsidR="00061875" w:rsidRDefault="00230B88">
            <w:pPr>
              <w:rPr>
                <w:sz w:val="22"/>
              </w:rPr>
            </w:pPr>
            <w:r>
              <w:rPr>
                <w:sz w:val="22"/>
              </w:rPr>
              <w:t xml:space="preserve">Ankende part – </w:t>
            </w:r>
            <w:r>
              <w:rPr>
                <w:b/>
                <w:sz w:val="22"/>
              </w:rPr>
              <w:t>A</w:t>
            </w:r>
            <w:r>
              <w:rPr>
                <w:sz w:val="22"/>
              </w:rPr>
              <w:t xml:space="preserve"> – har i korte trekk gjort gjeldende:</w:t>
            </w:r>
          </w:p>
        </w:tc>
      </w:tr>
    </w:tbl>
    <w:p w14:paraId="5C3C49F4" w14:textId="77777777" w:rsidR="00061875" w:rsidRDefault="00061875">
      <w:pPr>
        <w:rPr>
          <w:sz w:val="6"/>
        </w:rPr>
      </w:pPr>
    </w:p>
    <w:p w14:paraId="0FEDF88D"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3E5DE98A" w14:textId="77777777">
        <w:tc>
          <w:tcPr>
            <w:tcW w:w="720" w:type="dxa"/>
            <w:noWrap/>
            <w:tcMar>
              <w:right w:w="80" w:type="dxa"/>
            </w:tcMar>
          </w:tcPr>
          <w:p w14:paraId="3764E3B5" w14:textId="77777777" w:rsidR="00061875" w:rsidRDefault="00230B88">
            <w:pPr>
              <w:rPr>
                <w:sz w:val="22"/>
              </w:rPr>
            </w:pPr>
            <w:r>
              <w:rPr>
                <w:sz w:val="22"/>
              </w:rPr>
              <w:t>(10)</w:t>
            </w:r>
          </w:p>
        </w:tc>
        <w:tc>
          <w:tcPr>
            <w:tcW w:w="0" w:type="auto"/>
            <w:tcMar>
              <w:right w:w="80" w:type="dxa"/>
            </w:tcMar>
          </w:tcPr>
          <w:p w14:paraId="34807038" w14:textId="77777777" w:rsidR="00061875" w:rsidRDefault="00230B88">
            <w:pPr>
              <w:rPr>
                <w:sz w:val="22"/>
              </w:rPr>
            </w:pPr>
            <w:r>
              <w:rPr>
                <w:sz w:val="22"/>
              </w:rPr>
              <w:t xml:space="preserve">Lagmannsrettens dom, som ilegger ham et personlig ansvar etter </w:t>
            </w:r>
            <w:hyperlink r:id="rId13" w:anchor="reference/lov/1997-06-13-44/§17-1" w:history="1">
              <w:r>
                <w:rPr>
                  <w:sz w:val="22"/>
                </w:rPr>
                <w:t>aksjeloven § 17-1</w:t>
              </w:r>
            </w:hyperlink>
            <w:r>
              <w:rPr>
                <w:sz w:val="22"/>
              </w:rPr>
              <w:t xml:space="preserve"> for en del av Ulvesunds tap i tilknytning til konkursen i [Firma1], er ikke riktig. Lagmannsretten har lagt til grunn at A, i egenskap av daglig leder i [Firma1], hadde plikt til å varsle leverandørene om mulige betalingsvansker allerede </w:t>
            </w:r>
            <w:r>
              <w:rPr>
                <w:i/>
                <w:sz w:val="22"/>
              </w:rPr>
              <w:t>før</w:t>
            </w:r>
            <w:r>
              <w:rPr>
                <w:sz w:val="22"/>
              </w:rPr>
              <w:t xml:space="preserve"> selskapet var insolvent. En eventuell plikt til å varsle leverandører om sviktende økonomi kan tidligst inntre ved insolvens, og må dessuten ses i sammenheng med når plikten for styret til å begjære oppbud inntrer.</w:t>
            </w:r>
          </w:p>
        </w:tc>
      </w:tr>
    </w:tbl>
    <w:p w14:paraId="33D51AC4" w14:textId="77777777" w:rsidR="00061875" w:rsidRDefault="00061875">
      <w:pPr>
        <w:rPr>
          <w:sz w:val="6"/>
        </w:rPr>
      </w:pPr>
    </w:p>
    <w:p w14:paraId="11709D8F"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5F69C651" w14:textId="77777777">
        <w:tc>
          <w:tcPr>
            <w:tcW w:w="720" w:type="dxa"/>
            <w:noWrap/>
            <w:tcMar>
              <w:right w:w="80" w:type="dxa"/>
            </w:tcMar>
          </w:tcPr>
          <w:p w14:paraId="28592DF3" w14:textId="77777777" w:rsidR="00061875" w:rsidRDefault="00230B88">
            <w:pPr>
              <w:rPr>
                <w:sz w:val="22"/>
              </w:rPr>
            </w:pPr>
            <w:r>
              <w:rPr>
                <w:sz w:val="22"/>
              </w:rPr>
              <w:t>(11)</w:t>
            </w:r>
          </w:p>
        </w:tc>
        <w:tc>
          <w:tcPr>
            <w:tcW w:w="0" w:type="auto"/>
            <w:tcMar>
              <w:right w:w="80" w:type="dxa"/>
            </w:tcMar>
          </w:tcPr>
          <w:p w14:paraId="00448332" w14:textId="77777777" w:rsidR="00061875" w:rsidRDefault="00230B88">
            <w:pPr>
              <w:rPr>
                <w:sz w:val="22"/>
              </w:rPr>
            </w:pPr>
            <w:r>
              <w:rPr>
                <w:sz w:val="22"/>
              </w:rPr>
              <w:t xml:space="preserve">Det er ikke grunnlag for å fravike </w:t>
            </w:r>
            <w:proofErr w:type="spellStart"/>
            <w:r>
              <w:rPr>
                <w:sz w:val="22"/>
              </w:rPr>
              <w:t>borevisors</w:t>
            </w:r>
            <w:proofErr w:type="spellEnd"/>
            <w:r>
              <w:rPr>
                <w:sz w:val="22"/>
              </w:rPr>
              <w:t xml:space="preserve"> og de tidligere retters vurdering av insolvenstidspunktet, eller konklusjonen om at ledelsen i [Firma1] ikke kan bebreides for ikke å ha begjært oppbud før 26. oktober 2011.</w:t>
            </w:r>
          </w:p>
        </w:tc>
      </w:tr>
    </w:tbl>
    <w:p w14:paraId="77E9F142" w14:textId="77777777" w:rsidR="00061875" w:rsidRDefault="00061875">
      <w:pPr>
        <w:rPr>
          <w:sz w:val="6"/>
        </w:rPr>
      </w:pPr>
    </w:p>
    <w:p w14:paraId="64D9656A"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76820572" w14:textId="77777777">
        <w:tc>
          <w:tcPr>
            <w:tcW w:w="720" w:type="dxa"/>
            <w:noWrap/>
            <w:tcMar>
              <w:right w:w="80" w:type="dxa"/>
            </w:tcMar>
          </w:tcPr>
          <w:p w14:paraId="031477D7" w14:textId="77777777" w:rsidR="00061875" w:rsidRDefault="00230B88">
            <w:pPr>
              <w:rPr>
                <w:sz w:val="22"/>
              </w:rPr>
            </w:pPr>
            <w:r>
              <w:rPr>
                <w:sz w:val="22"/>
              </w:rPr>
              <w:t>(12)</w:t>
            </w:r>
          </w:p>
        </w:tc>
        <w:tc>
          <w:tcPr>
            <w:tcW w:w="0" w:type="auto"/>
            <w:tcMar>
              <w:right w:w="80" w:type="dxa"/>
            </w:tcMar>
          </w:tcPr>
          <w:p w14:paraId="43462EE6" w14:textId="77777777" w:rsidR="00061875" w:rsidRDefault="00230B88">
            <w:pPr>
              <w:rPr>
                <w:sz w:val="22"/>
              </w:rPr>
            </w:pPr>
            <w:r>
              <w:rPr>
                <w:sz w:val="22"/>
              </w:rPr>
              <w:t>Det foreligger ikke noen dom fra Høyesterett som slår fast at det i løpende kontraktsforhold kan inntre et personlig ansvar for daglig leder for mangelfull informasjon i tiden før selskapet er insolvent. En entydig og langvarig lagmannsrettspraksis bekrefter at det da ikke foreligger noen erstatningssanksjonert opplysningsplikt. Dette har også støtte i en bredere interesseavveining: Så lenge selskapet er solvent er det per definisjon et realistisk håp om videre drift. En eventuell opplysningsplikt forut for</w:t>
            </w:r>
            <w:r>
              <w:rPr>
                <w:sz w:val="22"/>
              </w:rPr>
              <w:t xml:space="preserve"> insolvenstidspunktet vil både kunne fremskynde insolvenssituasjoner og konkurser. Dersom selskapet er solvent, foreligger det heller ikke noen ekstraordinær risiko for tap. Det vil være rettsteknisk uheldig å pålegge opplysningsplikt forut for insolvens, ettersom det da vil være betydelig uvisshet om når informasjonsplikten inntrer og hvilket innhold den har. For store selskaper med mange underleverandører vil det i praksis kunne være nærmest umulig å varsle alle på samme tid.</w:t>
            </w:r>
          </w:p>
        </w:tc>
      </w:tr>
    </w:tbl>
    <w:p w14:paraId="7517D9BA" w14:textId="77777777" w:rsidR="00061875" w:rsidRDefault="00061875">
      <w:pPr>
        <w:rPr>
          <w:sz w:val="6"/>
        </w:rPr>
      </w:pPr>
    </w:p>
    <w:p w14:paraId="2F08A364"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46E32E77" w14:textId="77777777">
        <w:tc>
          <w:tcPr>
            <w:tcW w:w="720" w:type="dxa"/>
            <w:noWrap/>
            <w:tcMar>
              <w:right w:w="80" w:type="dxa"/>
            </w:tcMar>
          </w:tcPr>
          <w:p w14:paraId="7970FFAD" w14:textId="77777777" w:rsidR="00061875" w:rsidRDefault="00230B88">
            <w:pPr>
              <w:rPr>
                <w:sz w:val="22"/>
              </w:rPr>
            </w:pPr>
            <w:r>
              <w:rPr>
                <w:sz w:val="22"/>
              </w:rPr>
              <w:t>(13)</w:t>
            </w:r>
          </w:p>
        </w:tc>
        <w:tc>
          <w:tcPr>
            <w:tcW w:w="0" w:type="auto"/>
            <w:tcMar>
              <w:right w:w="80" w:type="dxa"/>
            </w:tcMar>
          </w:tcPr>
          <w:p w14:paraId="7F0D9391" w14:textId="77777777" w:rsidR="00061875" w:rsidRDefault="00230B88">
            <w:pPr>
              <w:rPr>
                <w:sz w:val="22"/>
              </w:rPr>
            </w:pPr>
            <w:r>
              <w:rPr>
                <w:sz w:val="22"/>
              </w:rPr>
              <w:t xml:space="preserve">Terskelen for ansvar etter </w:t>
            </w:r>
            <w:hyperlink r:id="rId14" w:anchor="reference/lov/1997-06-13-44/§17-1" w:history="1">
              <w:r>
                <w:rPr>
                  <w:sz w:val="22"/>
                </w:rPr>
                <w:t>§ 17-1</w:t>
              </w:r>
            </w:hyperlink>
            <w:r>
              <w:rPr>
                <w:sz w:val="22"/>
              </w:rPr>
              <w:t xml:space="preserve"> må også være høy i en situasjon som den foreliggende. Ansvar kan bare være aktuelt der virksomheten drives videre til tross for at det ikke er noe realistisk håp om å snu utviklingen. Det er i første rekke de urealistiske og illojale forretningsbeslutninger som omfattes. Tungtveiende samfunnshensyn tilsier at selskapet må ha adgang til å kjempe for å overleve. Det må være et bredt handlingsrom for styre og ledelse, slik at man unngår unødige oppbud og konkurser. Vurderingen må skje ut fra situasjonen på de</w:t>
            </w:r>
            <w:r>
              <w:rPr>
                <w:sz w:val="22"/>
              </w:rPr>
              <w:t>t aktuelle tidspunktet, og må også forholde seg til medkontrahentens kunnskap, forventning og risikovilje.</w:t>
            </w:r>
          </w:p>
        </w:tc>
      </w:tr>
    </w:tbl>
    <w:p w14:paraId="147A70C3" w14:textId="77777777" w:rsidR="00061875" w:rsidRDefault="00061875">
      <w:pPr>
        <w:rPr>
          <w:sz w:val="6"/>
        </w:rPr>
      </w:pPr>
    </w:p>
    <w:p w14:paraId="3844A109"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7C2E4DF4" w14:textId="77777777">
        <w:tc>
          <w:tcPr>
            <w:tcW w:w="720" w:type="dxa"/>
            <w:noWrap/>
            <w:tcMar>
              <w:right w:w="80" w:type="dxa"/>
            </w:tcMar>
          </w:tcPr>
          <w:p w14:paraId="3BE2B8F3" w14:textId="77777777" w:rsidR="00061875" w:rsidRDefault="00230B88">
            <w:pPr>
              <w:rPr>
                <w:sz w:val="22"/>
              </w:rPr>
            </w:pPr>
            <w:r>
              <w:rPr>
                <w:sz w:val="22"/>
              </w:rPr>
              <w:t>(14)</w:t>
            </w:r>
          </w:p>
        </w:tc>
        <w:tc>
          <w:tcPr>
            <w:tcW w:w="0" w:type="auto"/>
            <w:tcMar>
              <w:right w:w="80" w:type="dxa"/>
            </w:tcMar>
          </w:tcPr>
          <w:p w14:paraId="03DE2496" w14:textId="77777777" w:rsidR="00061875" w:rsidRDefault="00230B88">
            <w:pPr>
              <w:rPr>
                <w:sz w:val="22"/>
              </w:rPr>
            </w:pPr>
            <w:r>
              <w:rPr>
                <w:sz w:val="22"/>
              </w:rPr>
              <w:t xml:space="preserve">Ansvar overfor medkontrahenten forutsetter uansett at denne kunne bruke informasjonen som grunnlag for å gjøre misligholdsbeføyelser gjeldende, basert på at det foreligger antesipert mislighold. Lagmannsretten har i sin dom ikke tatt stilling til om [Firma1]s økonomiske stilling i august 2011 var slik at </w:t>
            </w:r>
            <w:proofErr w:type="spellStart"/>
            <w:r>
              <w:rPr>
                <w:sz w:val="22"/>
              </w:rPr>
              <w:t>Ulvesund</w:t>
            </w:r>
            <w:proofErr w:type="spellEnd"/>
            <w:r>
              <w:rPr>
                <w:sz w:val="22"/>
              </w:rPr>
              <w:t xml:space="preserve"> ville ha vært berettiget til å stanse egne arbeider.</w:t>
            </w:r>
          </w:p>
        </w:tc>
      </w:tr>
    </w:tbl>
    <w:p w14:paraId="17718414" w14:textId="77777777" w:rsidR="00061875" w:rsidRDefault="00061875">
      <w:pPr>
        <w:rPr>
          <w:sz w:val="6"/>
        </w:rPr>
      </w:pPr>
    </w:p>
    <w:p w14:paraId="78E49F3F"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61B958D9" w14:textId="77777777">
        <w:tc>
          <w:tcPr>
            <w:tcW w:w="720" w:type="dxa"/>
            <w:noWrap/>
            <w:tcMar>
              <w:right w:w="80" w:type="dxa"/>
            </w:tcMar>
          </w:tcPr>
          <w:p w14:paraId="75BE25A0" w14:textId="77777777" w:rsidR="00061875" w:rsidRDefault="00230B88">
            <w:pPr>
              <w:rPr>
                <w:sz w:val="22"/>
              </w:rPr>
            </w:pPr>
            <w:r>
              <w:rPr>
                <w:sz w:val="22"/>
              </w:rPr>
              <w:t>(15)</w:t>
            </w:r>
          </w:p>
        </w:tc>
        <w:tc>
          <w:tcPr>
            <w:tcW w:w="0" w:type="auto"/>
            <w:tcMar>
              <w:right w:w="80" w:type="dxa"/>
            </w:tcMar>
          </w:tcPr>
          <w:p w14:paraId="1AB66124" w14:textId="77777777" w:rsidR="00061875" w:rsidRDefault="00230B88">
            <w:pPr>
              <w:rPr>
                <w:sz w:val="22"/>
              </w:rPr>
            </w:pPr>
            <w:r>
              <w:rPr>
                <w:sz w:val="22"/>
              </w:rPr>
              <w:t xml:space="preserve">A har overholdt sine plikter som daglig leder. </w:t>
            </w:r>
            <w:proofErr w:type="spellStart"/>
            <w:r>
              <w:rPr>
                <w:sz w:val="22"/>
              </w:rPr>
              <w:t>Årsaksbildet</w:t>
            </w:r>
            <w:proofErr w:type="spellEnd"/>
            <w:r>
              <w:rPr>
                <w:sz w:val="22"/>
              </w:rPr>
              <w:t xml:space="preserve"> er sammensatt. Det er ikke bevismessige holdepunkter for at A burde kjent til selskapets underbalanse tidligere enn han faktisk gjorde, eller for å konkludere med at selskapet allerede i august 2011 hadde opparbeidet seg et betydelig underskudd. Ved culpavurderingen må det tas hensyn til at </w:t>
            </w:r>
            <w:proofErr w:type="spellStart"/>
            <w:r>
              <w:rPr>
                <w:sz w:val="22"/>
              </w:rPr>
              <w:t>Ulvesund</w:t>
            </w:r>
            <w:proofErr w:type="spellEnd"/>
            <w:r>
              <w:rPr>
                <w:sz w:val="22"/>
              </w:rPr>
              <w:t xml:space="preserve"> har hatt et langvarig samarbeid med [Firma1], og også var godt kjent med tidligere økonomiske problemer. </w:t>
            </w:r>
            <w:proofErr w:type="spellStart"/>
            <w:r>
              <w:rPr>
                <w:sz w:val="22"/>
              </w:rPr>
              <w:t>Ulvesund</w:t>
            </w:r>
            <w:proofErr w:type="spellEnd"/>
            <w:r>
              <w:rPr>
                <w:sz w:val="22"/>
              </w:rPr>
              <w:t xml:space="preserve"> tok en kalkulert risiko ved å levere tjenester på kreditt.</w:t>
            </w:r>
          </w:p>
        </w:tc>
      </w:tr>
    </w:tbl>
    <w:p w14:paraId="1E927492" w14:textId="77777777" w:rsidR="00061875" w:rsidRDefault="00061875">
      <w:pPr>
        <w:rPr>
          <w:sz w:val="6"/>
        </w:rPr>
      </w:pPr>
    </w:p>
    <w:p w14:paraId="738EC28D"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061875" w14:paraId="4A85F464" w14:textId="77777777">
        <w:tc>
          <w:tcPr>
            <w:tcW w:w="720" w:type="dxa"/>
            <w:noWrap/>
            <w:tcMar>
              <w:right w:w="80" w:type="dxa"/>
            </w:tcMar>
          </w:tcPr>
          <w:p w14:paraId="46CAA04C" w14:textId="77777777" w:rsidR="00061875" w:rsidRDefault="00230B88">
            <w:pPr>
              <w:rPr>
                <w:sz w:val="22"/>
              </w:rPr>
            </w:pPr>
            <w:r>
              <w:rPr>
                <w:sz w:val="22"/>
              </w:rPr>
              <w:t>(16)</w:t>
            </w:r>
          </w:p>
        </w:tc>
        <w:tc>
          <w:tcPr>
            <w:tcW w:w="0" w:type="auto"/>
            <w:tcMar>
              <w:right w:w="80" w:type="dxa"/>
            </w:tcMar>
          </w:tcPr>
          <w:p w14:paraId="66744DDC" w14:textId="77777777" w:rsidR="00061875" w:rsidRDefault="00230B88">
            <w:pPr>
              <w:rPr>
                <w:sz w:val="6"/>
              </w:rPr>
            </w:pPr>
            <w:r>
              <w:rPr>
                <w:sz w:val="22"/>
              </w:rPr>
              <w:t>A har lagt ned slik påstand:</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061875" w14:paraId="7B3CBCAB" w14:textId="77777777">
              <w:tc>
                <w:tcPr>
                  <w:tcW w:w="720" w:type="dxa"/>
                  <w:noWrap/>
                  <w:tcMar>
                    <w:right w:w="80" w:type="dxa"/>
                  </w:tcMar>
                </w:tcPr>
                <w:p w14:paraId="16DBF15A" w14:textId="77777777" w:rsidR="00061875" w:rsidRDefault="00230B88">
                  <w:pPr>
                    <w:jc w:val="right"/>
                    <w:rPr>
                      <w:sz w:val="22"/>
                    </w:rPr>
                  </w:pPr>
                  <w:r>
                    <w:rPr>
                      <w:sz w:val="22"/>
                    </w:rPr>
                    <w:t>«1.</w:t>
                  </w:r>
                </w:p>
              </w:tc>
              <w:tc>
                <w:tcPr>
                  <w:tcW w:w="8786" w:type="dxa"/>
                  <w:noWrap/>
                  <w:tcMar>
                    <w:right w:w="80" w:type="dxa"/>
                  </w:tcMar>
                </w:tcPr>
                <w:p w14:paraId="0EC6C9EA" w14:textId="77777777" w:rsidR="00061875" w:rsidRDefault="00230B88">
                  <w:pPr>
                    <w:rPr>
                      <w:sz w:val="22"/>
                    </w:rPr>
                  </w:pPr>
                  <w:r>
                    <w:rPr>
                      <w:sz w:val="22"/>
                    </w:rPr>
                    <w:t>A frifinnes.</w:t>
                  </w:r>
                </w:p>
              </w:tc>
            </w:tr>
          </w:tbl>
          <w:p w14:paraId="641EE1D5" w14:textId="77777777" w:rsidR="00061875" w:rsidRDefault="00061875">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061875" w14:paraId="405C3EBA" w14:textId="77777777">
              <w:tc>
                <w:tcPr>
                  <w:tcW w:w="720" w:type="dxa"/>
                  <w:noWrap/>
                  <w:tcMar>
                    <w:right w:w="80" w:type="dxa"/>
                  </w:tcMar>
                </w:tcPr>
                <w:p w14:paraId="0FCA9002" w14:textId="77777777" w:rsidR="00061875" w:rsidRDefault="00230B88">
                  <w:pPr>
                    <w:jc w:val="right"/>
                    <w:rPr>
                      <w:sz w:val="22"/>
                    </w:rPr>
                  </w:pPr>
                  <w:r>
                    <w:rPr>
                      <w:sz w:val="22"/>
                    </w:rPr>
                    <w:t>2.</w:t>
                  </w:r>
                </w:p>
              </w:tc>
              <w:tc>
                <w:tcPr>
                  <w:tcW w:w="8786" w:type="dxa"/>
                  <w:noWrap/>
                  <w:tcMar>
                    <w:right w:w="80" w:type="dxa"/>
                  </w:tcMar>
                </w:tcPr>
                <w:p w14:paraId="69035838" w14:textId="77777777" w:rsidR="00061875" w:rsidRDefault="00230B88">
                  <w:pPr>
                    <w:rPr>
                      <w:sz w:val="22"/>
                    </w:rPr>
                  </w:pPr>
                  <w:proofErr w:type="spellStart"/>
                  <w:r>
                    <w:rPr>
                      <w:sz w:val="22"/>
                    </w:rPr>
                    <w:t>Ulvesund</w:t>
                  </w:r>
                  <w:proofErr w:type="spellEnd"/>
                  <w:r>
                    <w:rPr>
                      <w:sz w:val="22"/>
                    </w:rPr>
                    <w:t xml:space="preserve"> Elektro dømmes til å betale As sakskostnader for tingretten, </w:t>
                  </w:r>
                  <w:r>
                    <w:rPr>
                      <w:sz w:val="22"/>
                    </w:rPr>
                    <w:t>lagmannsretten og til og med inngivelse av anke til Høyesterett.</w:t>
                  </w:r>
                </w:p>
              </w:tc>
            </w:tr>
          </w:tbl>
          <w:p w14:paraId="2DDF2C01" w14:textId="77777777" w:rsidR="00061875" w:rsidRDefault="00061875">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061875" w14:paraId="7E695C22" w14:textId="77777777">
              <w:tc>
                <w:tcPr>
                  <w:tcW w:w="720" w:type="dxa"/>
                  <w:noWrap/>
                  <w:tcMar>
                    <w:right w:w="80" w:type="dxa"/>
                  </w:tcMar>
                </w:tcPr>
                <w:p w14:paraId="65A7F24F" w14:textId="77777777" w:rsidR="00061875" w:rsidRDefault="00230B88">
                  <w:pPr>
                    <w:jc w:val="right"/>
                    <w:rPr>
                      <w:sz w:val="22"/>
                    </w:rPr>
                  </w:pPr>
                  <w:r>
                    <w:rPr>
                      <w:sz w:val="22"/>
                    </w:rPr>
                    <w:t>3.</w:t>
                  </w:r>
                </w:p>
              </w:tc>
              <w:tc>
                <w:tcPr>
                  <w:tcW w:w="8786" w:type="dxa"/>
                  <w:noWrap/>
                  <w:tcMar>
                    <w:right w:w="80" w:type="dxa"/>
                  </w:tcMar>
                </w:tcPr>
                <w:p w14:paraId="7707B9A1" w14:textId="77777777" w:rsidR="00061875" w:rsidRDefault="00230B88">
                  <w:pPr>
                    <w:rPr>
                      <w:sz w:val="22"/>
                    </w:rPr>
                  </w:pPr>
                  <w:proofErr w:type="spellStart"/>
                  <w:r>
                    <w:rPr>
                      <w:sz w:val="22"/>
                    </w:rPr>
                    <w:t>Ulvesund</w:t>
                  </w:r>
                  <w:proofErr w:type="spellEnd"/>
                  <w:r>
                    <w:rPr>
                      <w:sz w:val="22"/>
                    </w:rPr>
                    <w:t xml:space="preserve"> Elektro dømmes til å betale det offentliges sakskostnader for Høyesterett fra og med bevisopptak.»</w:t>
                  </w:r>
                </w:p>
              </w:tc>
            </w:tr>
          </w:tbl>
          <w:p w14:paraId="2B006DED" w14:textId="77777777" w:rsidR="00061875" w:rsidRDefault="00061875">
            <w:pPr>
              <w:rPr>
                <w:sz w:val="22"/>
              </w:rPr>
            </w:pPr>
          </w:p>
        </w:tc>
      </w:tr>
    </w:tbl>
    <w:p w14:paraId="0FFD6B42" w14:textId="77777777" w:rsidR="00061875" w:rsidRDefault="00061875">
      <w:pPr>
        <w:rPr>
          <w:sz w:val="6"/>
        </w:rPr>
      </w:pPr>
    </w:p>
    <w:p w14:paraId="08088F08"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6644EE5F" w14:textId="77777777">
        <w:tc>
          <w:tcPr>
            <w:tcW w:w="720" w:type="dxa"/>
            <w:noWrap/>
            <w:tcMar>
              <w:right w:w="80" w:type="dxa"/>
            </w:tcMar>
          </w:tcPr>
          <w:p w14:paraId="4B63E765" w14:textId="77777777" w:rsidR="00061875" w:rsidRDefault="00230B88">
            <w:pPr>
              <w:rPr>
                <w:sz w:val="22"/>
              </w:rPr>
            </w:pPr>
            <w:r>
              <w:rPr>
                <w:sz w:val="22"/>
              </w:rPr>
              <w:t>(17)</w:t>
            </w:r>
          </w:p>
        </w:tc>
        <w:tc>
          <w:tcPr>
            <w:tcW w:w="0" w:type="auto"/>
            <w:tcMar>
              <w:right w:w="80" w:type="dxa"/>
            </w:tcMar>
          </w:tcPr>
          <w:p w14:paraId="52B0DE17" w14:textId="77777777" w:rsidR="00061875" w:rsidRDefault="00230B88">
            <w:pPr>
              <w:rPr>
                <w:sz w:val="22"/>
              </w:rPr>
            </w:pPr>
            <w:r>
              <w:rPr>
                <w:sz w:val="22"/>
              </w:rPr>
              <w:t xml:space="preserve">Ankemotparten – </w:t>
            </w:r>
            <w:proofErr w:type="spellStart"/>
            <w:r>
              <w:rPr>
                <w:b/>
                <w:sz w:val="22"/>
              </w:rPr>
              <w:t>Ulvesund</w:t>
            </w:r>
            <w:proofErr w:type="spellEnd"/>
            <w:r>
              <w:rPr>
                <w:b/>
                <w:sz w:val="22"/>
              </w:rPr>
              <w:t xml:space="preserve"> Elektro AS</w:t>
            </w:r>
            <w:r>
              <w:rPr>
                <w:sz w:val="22"/>
              </w:rPr>
              <w:t xml:space="preserve"> – har i korte trekk gjort gjeldende:</w:t>
            </w:r>
          </w:p>
        </w:tc>
      </w:tr>
    </w:tbl>
    <w:p w14:paraId="7D79A06E" w14:textId="77777777" w:rsidR="00061875" w:rsidRDefault="00061875">
      <w:pPr>
        <w:rPr>
          <w:sz w:val="6"/>
        </w:rPr>
      </w:pPr>
    </w:p>
    <w:p w14:paraId="3E0C87B5"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6D3664D9" w14:textId="77777777">
        <w:tc>
          <w:tcPr>
            <w:tcW w:w="720" w:type="dxa"/>
            <w:noWrap/>
            <w:tcMar>
              <w:right w:w="80" w:type="dxa"/>
            </w:tcMar>
          </w:tcPr>
          <w:p w14:paraId="01BF0C64" w14:textId="77777777" w:rsidR="00061875" w:rsidRDefault="00230B88">
            <w:pPr>
              <w:rPr>
                <w:sz w:val="22"/>
              </w:rPr>
            </w:pPr>
            <w:r>
              <w:rPr>
                <w:sz w:val="22"/>
              </w:rPr>
              <w:t>(18)</w:t>
            </w:r>
          </w:p>
        </w:tc>
        <w:tc>
          <w:tcPr>
            <w:tcW w:w="0" w:type="auto"/>
            <w:tcMar>
              <w:right w:w="80" w:type="dxa"/>
            </w:tcMar>
          </w:tcPr>
          <w:p w14:paraId="194AFF72" w14:textId="77777777" w:rsidR="00061875" w:rsidRDefault="00230B88">
            <w:pPr>
              <w:rPr>
                <w:sz w:val="22"/>
              </w:rPr>
            </w:pPr>
            <w:proofErr w:type="spellStart"/>
            <w:r>
              <w:rPr>
                <w:sz w:val="22"/>
              </w:rPr>
              <w:t>Ulvesund</w:t>
            </w:r>
            <w:proofErr w:type="spellEnd"/>
            <w:r>
              <w:rPr>
                <w:sz w:val="22"/>
              </w:rPr>
              <w:t xml:space="preserve"> ble påført et tap i forbindelse med konkursen i [Firma1], ved at </w:t>
            </w:r>
            <w:proofErr w:type="spellStart"/>
            <w:r>
              <w:rPr>
                <w:sz w:val="22"/>
              </w:rPr>
              <w:t>Ulvesund</w:t>
            </w:r>
            <w:proofErr w:type="spellEnd"/>
            <w:r>
              <w:rPr>
                <w:sz w:val="22"/>
              </w:rPr>
              <w:t xml:space="preserve"> fortsatte sitt arbeid med skipsutrustning etter at det var oppstått en økonomisk situasjon i [Firma1] som innebar at selskapet var ute av stand til å betale for dette arbeidet ved forfall. A var daglig leder i [Firma1], og var den som hadde ansvaret for at selskapet hadde tilstrekkelig oversikt over økonomien og for å gi </w:t>
            </w:r>
            <w:proofErr w:type="spellStart"/>
            <w:r>
              <w:rPr>
                <w:sz w:val="22"/>
              </w:rPr>
              <w:t>Ulvesund</w:t>
            </w:r>
            <w:proofErr w:type="spellEnd"/>
            <w:r>
              <w:rPr>
                <w:sz w:val="22"/>
              </w:rPr>
              <w:t xml:space="preserve"> varsel om den negative økonomiske utviklingen i [Firma1].</w:t>
            </w:r>
          </w:p>
        </w:tc>
      </w:tr>
    </w:tbl>
    <w:p w14:paraId="5AC7BEA9" w14:textId="77777777" w:rsidR="00061875" w:rsidRDefault="00061875">
      <w:pPr>
        <w:rPr>
          <w:sz w:val="6"/>
        </w:rPr>
      </w:pPr>
    </w:p>
    <w:p w14:paraId="3BEA2D8A"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09934C5E" w14:textId="77777777">
        <w:tc>
          <w:tcPr>
            <w:tcW w:w="720" w:type="dxa"/>
            <w:noWrap/>
            <w:tcMar>
              <w:right w:w="80" w:type="dxa"/>
            </w:tcMar>
          </w:tcPr>
          <w:p w14:paraId="21E1E04D" w14:textId="77777777" w:rsidR="00061875" w:rsidRDefault="00230B88">
            <w:pPr>
              <w:rPr>
                <w:sz w:val="22"/>
              </w:rPr>
            </w:pPr>
            <w:r>
              <w:rPr>
                <w:sz w:val="22"/>
              </w:rPr>
              <w:t>(19)</w:t>
            </w:r>
          </w:p>
        </w:tc>
        <w:tc>
          <w:tcPr>
            <w:tcW w:w="0" w:type="auto"/>
            <w:tcMar>
              <w:right w:w="80" w:type="dxa"/>
            </w:tcMar>
          </w:tcPr>
          <w:p w14:paraId="7166A34A" w14:textId="77777777" w:rsidR="00061875" w:rsidRDefault="00230B88">
            <w:pPr>
              <w:rPr>
                <w:sz w:val="22"/>
              </w:rPr>
            </w:pPr>
            <w:r>
              <w:rPr>
                <w:sz w:val="22"/>
              </w:rPr>
              <w:t xml:space="preserve">Plikten til å informere om risikoen for tap ved fortsatt leveranse er utslag av det generelle lojalitetskravet som gjelder i kontraktsforhold. Med mindre debitor har en realistisk mulighet til å overkomme de økonomiske problemene som </w:t>
            </w:r>
            <w:r>
              <w:rPr>
                <w:sz w:val="22"/>
              </w:rPr>
              <w:t>oppstår, inntrer opplysningsplikten fra det tidspunktet selskapets økonomi er så dårlig at det må anses sannsynlig at selskapet ikke vil være i stand til å innfri ved forfall. Daglig leders personlige ansvar overfor selskapets medkontrahenter oppstår på det samme tidspunktet.</w:t>
            </w:r>
          </w:p>
        </w:tc>
      </w:tr>
    </w:tbl>
    <w:p w14:paraId="72E556A3" w14:textId="77777777" w:rsidR="00061875" w:rsidRDefault="00061875">
      <w:pPr>
        <w:rPr>
          <w:sz w:val="6"/>
        </w:rPr>
      </w:pPr>
    </w:p>
    <w:p w14:paraId="633996A9"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6C64384D" w14:textId="77777777">
        <w:tc>
          <w:tcPr>
            <w:tcW w:w="720" w:type="dxa"/>
            <w:noWrap/>
            <w:tcMar>
              <w:right w:w="80" w:type="dxa"/>
            </w:tcMar>
          </w:tcPr>
          <w:p w14:paraId="3355BD84" w14:textId="77777777" w:rsidR="00061875" w:rsidRDefault="00230B88">
            <w:pPr>
              <w:rPr>
                <w:sz w:val="22"/>
              </w:rPr>
            </w:pPr>
            <w:r>
              <w:rPr>
                <w:sz w:val="22"/>
              </w:rPr>
              <w:t>(20)</w:t>
            </w:r>
          </w:p>
        </w:tc>
        <w:tc>
          <w:tcPr>
            <w:tcW w:w="0" w:type="auto"/>
            <w:tcMar>
              <w:right w:w="80" w:type="dxa"/>
            </w:tcMar>
          </w:tcPr>
          <w:p w14:paraId="7B544EE9" w14:textId="77777777" w:rsidR="00061875" w:rsidRDefault="00230B88">
            <w:pPr>
              <w:rPr>
                <w:sz w:val="22"/>
              </w:rPr>
            </w:pPr>
            <w:r>
              <w:rPr>
                <w:sz w:val="22"/>
              </w:rPr>
              <w:t xml:space="preserve">Høyesterettspraksis utelukker ikke at plikten til å informere om svikt i selskapets økonomi vil kunne inntre før selskapet er insolvent – den snarere bekrefter at det vil kunne inntre ansvar også før insolvenstidspunktet. I den grad insolvens har betydning, må man – i motsetning til hva </w:t>
            </w:r>
            <w:proofErr w:type="spellStart"/>
            <w:r>
              <w:rPr>
                <w:sz w:val="22"/>
              </w:rPr>
              <w:t>borevisor</w:t>
            </w:r>
            <w:proofErr w:type="spellEnd"/>
            <w:r>
              <w:rPr>
                <w:sz w:val="22"/>
              </w:rPr>
              <w:t xml:space="preserve"> og de tidligere retter har gjort – ved insolvensvurderingen ta i betraktning ikke bare forfalte krav, men også om debitor når den tid kommer vil ha mulighet for å dekke krav som ennå ikke er forfalt.</w:t>
            </w:r>
          </w:p>
        </w:tc>
      </w:tr>
    </w:tbl>
    <w:p w14:paraId="5BD0E552" w14:textId="77777777" w:rsidR="00061875" w:rsidRDefault="00061875">
      <w:pPr>
        <w:rPr>
          <w:sz w:val="6"/>
        </w:rPr>
      </w:pPr>
    </w:p>
    <w:p w14:paraId="77FA64A9"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061875" w14:paraId="6B690BEB" w14:textId="77777777">
        <w:tc>
          <w:tcPr>
            <w:tcW w:w="720" w:type="dxa"/>
            <w:noWrap/>
            <w:tcMar>
              <w:right w:w="80" w:type="dxa"/>
            </w:tcMar>
          </w:tcPr>
          <w:p w14:paraId="5BF49A7C" w14:textId="77777777" w:rsidR="00061875" w:rsidRDefault="00230B88">
            <w:pPr>
              <w:rPr>
                <w:sz w:val="22"/>
              </w:rPr>
            </w:pPr>
            <w:r>
              <w:rPr>
                <w:sz w:val="22"/>
              </w:rPr>
              <w:t>(21)</w:t>
            </w:r>
          </w:p>
        </w:tc>
        <w:tc>
          <w:tcPr>
            <w:tcW w:w="0" w:type="auto"/>
            <w:tcMar>
              <w:right w:w="80" w:type="dxa"/>
            </w:tcMar>
          </w:tcPr>
          <w:p w14:paraId="51D760E3" w14:textId="77777777" w:rsidR="00061875" w:rsidRDefault="00230B88">
            <w:pPr>
              <w:rPr>
                <w:sz w:val="6"/>
              </w:rPr>
            </w:pPr>
            <w:proofErr w:type="spellStart"/>
            <w:r>
              <w:rPr>
                <w:sz w:val="22"/>
              </w:rPr>
              <w:t>Ulvesund</w:t>
            </w:r>
            <w:proofErr w:type="spellEnd"/>
            <w:r>
              <w:rPr>
                <w:sz w:val="22"/>
              </w:rPr>
              <w:t xml:space="preserve"> Elektro AS har lagt ned slik påstand:</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061875" w14:paraId="322C7809" w14:textId="77777777">
              <w:tc>
                <w:tcPr>
                  <w:tcW w:w="720" w:type="dxa"/>
                  <w:noWrap/>
                  <w:tcMar>
                    <w:right w:w="80" w:type="dxa"/>
                  </w:tcMar>
                </w:tcPr>
                <w:p w14:paraId="4EACB623" w14:textId="77777777" w:rsidR="00061875" w:rsidRDefault="00230B88">
                  <w:pPr>
                    <w:jc w:val="right"/>
                    <w:rPr>
                      <w:sz w:val="22"/>
                    </w:rPr>
                  </w:pPr>
                  <w:r>
                    <w:rPr>
                      <w:sz w:val="22"/>
                    </w:rPr>
                    <w:t>«1.</w:t>
                  </w:r>
                </w:p>
              </w:tc>
              <w:tc>
                <w:tcPr>
                  <w:tcW w:w="8786" w:type="dxa"/>
                  <w:noWrap/>
                  <w:tcMar>
                    <w:right w:w="80" w:type="dxa"/>
                  </w:tcMar>
                </w:tcPr>
                <w:p w14:paraId="52D4361A" w14:textId="77777777" w:rsidR="00061875" w:rsidRDefault="00230B88">
                  <w:pPr>
                    <w:rPr>
                      <w:sz w:val="22"/>
                    </w:rPr>
                  </w:pPr>
                  <w:r>
                    <w:rPr>
                      <w:sz w:val="22"/>
                    </w:rPr>
                    <w:t>Anken forkastes.</w:t>
                  </w:r>
                </w:p>
              </w:tc>
            </w:tr>
          </w:tbl>
          <w:p w14:paraId="6F05BD05" w14:textId="77777777" w:rsidR="00061875" w:rsidRDefault="00061875">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061875" w14:paraId="5406ECC4" w14:textId="77777777">
              <w:tc>
                <w:tcPr>
                  <w:tcW w:w="720" w:type="dxa"/>
                  <w:noWrap/>
                  <w:tcMar>
                    <w:right w:w="80" w:type="dxa"/>
                  </w:tcMar>
                </w:tcPr>
                <w:p w14:paraId="4A315B28" w14:textId="77777777" w:rsidR="00061875" w:rsidRDefault="00230B88">
                  <w:pPr>
                    <w:jc w:val="right"/>
                    <w:rPr>
                      <w:sz w:val="22"/>
                    </w:rPr>
                  </w:pPr>
                  <w:r>
                    <w:rPr>
                      <w:sz w:val="22"/>
                    </w:rPr>
                    <w:t>2.</w:t>
                  </w:r>
                </w:p>
              </w:tc>
              <w:tc>
                <w:tcPr>
                  <w:tcW w:w="8786" w:type="dxa"/>
                  <w:noWrap/>
                  <w:tcMar>
                    <w:right w:w="80" w:type="dxa"/>
                  </w:tcMar>
                </w:tcPr>
                <w:p w14:paraId="6282EE90" w14:textId="77777777" w:rsidR="00061875" w:rsidRDefault="00230B88">
                  <w:pPr>
                    <w:rPr>
                      <w:sz w:val="22"/>
                    </w:rPr>
                  </w:pPr>
                  <w:proofErr w:type="spellStart"/>
                  <w:r>
                    <w:rPr>
                      <w:sz w:val="22"/>
                    </w:rPr>
                    <w:t>Ulvesund</w:t>
                  </w:r>
                  <w:proofErr w:type="spellEnd"/>
                  <w:r>
                    <w:rPr>
                      <w:sz w:val="22"/>
                    </w:rPr>
                    <w:t xml:space="preserve"> Elektro AS tilkjennes saksomkostninger for tingrett, lagmannsrett og Høyesterett.»</w:t>
                  </w:r>
                </w:p>
              </w:tc>
            </w:tr>
          </w:tbl>
          <w:p w14:paraId="28B60EF8" w14:textId="77777777" w:rsidR="00061875" w:rsidRDefault="00061875">
            <w:pPr>
              <w:rPr>
                <w:sz w:val="22"/>
              </w:rPr>
            </w:pPr>
          </w:p>
        </w:tc>
      </w:tr>
    </w:tbl>
    <w:p w14:paraId="37FB2FAE" w14:textId="77777777" w:rsidR="00061875" w:rsidRDefault="00061875">
      <w:pPr>
        <w:rPr>
          <w:sz w:val="6"/>
        </w:rPr>
      </w:pPr>
    </w:p>
    <w:p w14:paraId="3A61030C"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6CBFEBF6" w14:textId="77777777">
        <w:tc>
          <w:tcPr>
            <w:tcW w:w="720" w:type="dxa"/>
            <w:noWrap/>
            <w:tcMar>
              <w:right w:w="80" w:type="dxa"/>
            </w:tcMar>
          </w:tcPr>
          <w:p w14:paraId="36BEBF39" w14:textId="77777777" w:rsidR="00061875" w:rsidRDefault="00230B88">
            <w:pPr>
              <w:rPr>
                <w:sz w:val="22"/>
              </w:rPr>
            </w:pPr>
            <w:r>
              <w:rPr>
                <w:sz w:val="22"/>
              </w:rPr>
              <w:t>(22)</w:t>
            </w:r>
          </w:p>
        </w:tc>
        <w:tc>
          <w:tcPr>
            <w:tcW w:w="0" w:type="auto"/>
            <w:tcMar>
              <w:right w:w="80" w:type="dxa"/>
            </w:tcMar>
          </w:tcPr>
          <w:p w14:paraId="4EBABBB5" w14:textId="77777777" w:rsidR="00061875" w:rsidRDefault="00230B88">
            <w:pPr>
              <w:rPr>
                <w:sz w:val="22"/>
              </w:rPr>
            </w:pPr>
            <w:r>
              <w:rPr>
                <w:b/>
                <w:sz w:val="22"/>
              </w:rPr>
              <w:t>Jeg er kommet til</w:t>
            </w:r>
            <w:r>
              <w:rPr>
                <w:sz w:val="22"/>
              </w:rPr>
              <w:t xml:space="preserve"> at anken må forkastes.</w:t>
            </w:r>
          </w:p>
        </w:tc>
      </w:tr>
    </w:tbl>
    <w:p w14:paraId="19CC3B13" w14:textId="77777777" w:rsidR="00061875" w:rsidRDefault="00061875">
      <w:pPr>
        <w:rPr>
          <w:sz w:val="6"/>
        </w:rPr>
      </w:pPr>
    </w:p>
    <w:p w14:paraId="4B03015F"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666BFCB7" w14:textId="77777777">
        <w:tc>
          <w:tcPr>
            <w:tcW w:w="720" w:type="dxa"/>
            <w:noWrap/>
            <w:tcMar>
              <w:right w:w="80" w:type="dxa"/>
            </w:tcMar>
          </w:tcPr>
          <w:p w14:paraId="4D587F90" w14:textId="77777777" w:rsidR="00061875" w:rsidRDefault="00230B88">
            <w:pPr>
              <w:rPr>
                <w:sz w:val="22"/>
              </w:rPr>
            </w:pPr>
            <w:r>
              <w:rPr>
                <w:sz w:val="22"/>
              </w:rPr>
              <w:t>(23)</w:t>
            </w:r>
          </w:p>
        </w:tc>
        <w:tc>
          <w:tcPr>
            <w:tcW w:w="0" w:type="auto"/>
            <w:tcMar>
              <w:right w:w="80" w:type="dxa"/>
            </w:tcMar>
          </w:tcPr>
          <w:p w14:paraId="5722A049" w14:textId="77777777" w:rsidR="00061875" w:rsidRDefault="00230B88">
            <w:pPr>
              <w:rPr>
                <w:sz w:val="22"/>
              </w:rPr>
            </w:pPr>
            <w:proofErr w:type="spellStart"/>
            <w:r>
              <w:rPr>
                <w:sz w:val="22"/>
              </w:rPr>
              <w:t>Ulvesund</w:t>
            </w:r>
            <w:proofErr w:type="spellEnd"/>
            <w:r>
              <w:rPr>
                <w:sz w:val="22"/>
              </w:rPr>
              <w:t xml:space="preserve"> gjør gjeldende at selskapet har lidt et økonomisk tap i forbindelse med [Firma1]s konkurs 31. oktober 2011. Spørsmålet for Høyesterett er om </w:t>
            </w:r>
            <w:proofErr w:type="spellStart"/>
            <w:r>
              <w:rPr>
                <w:sz w:val="22"/>
              </w:rPr>
              <w:t>Ulvesund</w:t>
            </w:r>
            <w:proofErr w:type="spellEnd"/>
            <w:r>
              <w:rPr>
                <w:sz w:val="22"/>
              </w:rPr>
              <w:t xml:space="preserve"> kan holde daglig leder i [Firma1], A, personlig ansvarlig for dette tapet – med andre ord om det foreligger </w:t>
            </w:r>
            <w:r>
              <w:rPr>
                <w:i/>
                <w:sz w:val="22"/>
              </w:rPr>
              <w:t>ansvarsgrunnlag</w:t>
            </w:r>
            <w:r>
              <w:rPr>
                <w:sz w:val="22"/>
              </w:rPr>
              <w:t xml:space="preserve"> for A.</w:t>
            </w:r>
          </w:p>
        </w:tc>
      </w:tr>
    </w:tbl>
    <w:p w14:paraId="57CADD68" w14:textId="77777777" w:rsidR="00061875" w:rsidRDefault="00061875">
      <w:pPr>
        <w:rPr>
          <w:sz w:val="6"/>
        </w:rPr>
      </w:pPr>
    </w:p>
    <w:p w14:paraId="1C9CD253"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376F9113" w14:textId="77777777">
        <w:tc>
          <w:tcPr>
            <w:tcW w:w="720" w:type="dxa"/>
            <w:noWrap/>
            <w:tcMar>
              <w:right w:w="80" w:type="dxa"/>
            </w:tcMar>
          </w:tcPr>
          <w:p w14:paraId="473D7113" w14:textId="77777777" w:rsidR="00061875" w:rsidRDefault="00230B88">
            <w:pPr>
              <w:rPr>
                <w:sz w:val="22"/>
              </w:rPr>
            </w:pPr>
            <w:r>
              <w:rPr>
                <w:sz w:val="22"/>
              </w:rPr>
              <w:t>(24)</w:t>
            </w:r>
          </w:p>
        </w:tc>
        <w:tc>
          <w:tcPr>
            <w:tcW w:w="0" w:type="auto"/>
            <w:tcMar>
              <w:right w:w="80" w:type="dxa"/>
            </w:tcMar>
          </w:tcPr>
          <w:p w14:paraId="1B27C537" w14:textId="77777777" w:rsidR="00061875" w:rsidRDefault="00230B88">
            <w:pPr>
              <w:rPr>
                <w:sz w:val="6"/>
              </w:rPr>
            </w:pPr>
            <w:r>
              <w:rPr>
                <w:sz w:val="22"/>
              </w:rPr>
              <w:t xml:space="preserve">Vilkårene for personlig ansvar for blant annet daglig leder i et aksjeselskap følger av </w:t>
            </w:r>
            <w:hyperlink r:id="rId15" w:anchor="reference/lov/1997-06-13-44/§17-1" w:history="1">
              <w:r>
                <w:rPr>
                  <w:sz w:val="22"/>
                </w:rPr>
                <w:t>aksjeloven § 17-1</w:t>
              </w:r>
            </w:hyperlink>
            <w:r>
              <w:rPr>
                <w:sz w:val="22"/>
              </w:rPr>
              <w:t xml:space="preserve"> første ledd, som lyder:</w:t>
            </w:r>
          </w:p>
          <w:p w14:paraId="5FC58441" w14:textId="77777777" w:rsidR="00061875" w:rsidRDefault="00230B88">
            <w:pPr>
              <w:spacing w:before="120"/>
              <w:ind w:left="1080"/>
              <w:rPr>
                <w:sz w:val="22"/>
              </w:rPr>
            </w:pPr>
            <w:r>
              <w:rPr>
                <w:sz w:val="22"/>
              </w:rPr>
              <w:t>«Selskapet, aksjeeier eller andre kan kreve at daglig leder, styremedlem, medlem av bedriftsforsamlingen, gransker eller aksjeeier erstatter skade som de i den nevnte egenskap forsettlig eller uaktsomt har voldt vedkommende.»</w:t>
            </w:r>
          </w:p>
        </w:tc>
      </w:tr>
    </w:tbl>
    <w:p w14:paraId="4E1D491D" w14:textId="77777777" w:rsidR="00061875" w:rsidRDefault="00061875">
      <w:pPr>
        <w:rPr>
          <w:sz w:val="6"/>
        </w:rPr>
      </w:pPr>
    </w:p>
    <w:p w14:paraId="548AB4C0"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0CD6D962" w14:textId="77777777">
        <w:tc>
          <w:tcPr>
            <w:tcW w:w="720" w:type="dxa"/>
            <w:noWrap/>
            <w:tcMar>
              <w:right w:w="80" w:type="dxa"/>
            </w:tcMar>
          </w:tcPr>
          <w:p w14:paraId="68451412" w14:textId="77777777" w:rsidR="00061875" w:rsidRDefault="00230B88">
            <w:pPr>
              <w:rPr>
                <w:sz w:val="22"/>
              </w:rPr>
            </w:pPr>
            <w:r>
              <w:rPr>
                <w:sz w:val="22"/>
              </w:rPr>
              <w:t>(25)</w:t>
            </w:r>
          </w:p>
        </w:tc>
        <w:tc>
          <w:tcPr>
            <w:tcW w:w="0" w:type="auto"/>
            <w:tcMar>
              <w:right w:w="80" w:type="dxa"/>
            </w:tcMar>
          </w:tcPr>
          <w:p w14:paraId="3D1FED13" w14:textId="77777777" w:rsidR="00061875" w:rsidRDefault="00230B88">
            <w:pPr>
              <w:rPr>
                <w:sz w:val="22"/>
              </w:rPr>
            </w:pPr>
            <w:r>
              <w:rPr>
                <w:sz w:val="22"/>
              </w:rPr>
              <w:t xml:space="preserve">Bestemmelsen er en særlig regulering av den alminnelige erstatningsrettslige culpanormen, og den omfatter også krav om erstatning for et rent formuestap hos en kreditor, jf. </w:t>
            </w:r>
            <w:hyperlink r:id="rId16" w:anchor="reference/forarbeid/otprp-55-200506/s167" w:history="1">
              <w:r>
                <w:rPr>
                  <w:sz w:val="22"/>
                </w:rPr>
                <w:t>Ot.prp.nr.55 (2005–2006) side 167</w:t>
              </w:r>
            </w:hyperlink>
            <w:r>
              <w:rPr>
                <w:sz w:val="22"/>
              </w:rPr>
              <w:t xml:space="preserve">. Den viderefører </w:t>
            </w:r>
            <w:hyperlink r:id="rId17" w:anchor="reference/lov/1976-06-04-59/§15-1" w:history="1">
              <w:r>
                <w:rPr>
                  <w:sz w:val="22"/>
                </w:rPr>
                <w:t>§ 15-1</w:t>
              </w:r>
            </w:hyperlink>
            <w:r>
              <w:rPr>
                <w:sz w:val="22"/>
              </w:rPr>
              <w:t xml:space="preserve"> i aksjeloven 1976. Lovgiver har ansett en slik «generell» og «skjønnsmessig» regel som «ønskelig og nødvendig», fordi dette gir «en stor grad av fleksibilitet» og legger opp til at ansvarsspørsmålet «må løses ut fra en konkret vurdering av forholdene i det enkelte tilfellet», jf. </w:t>
            </w:r>
            <w:hyperlink r:id="rId18" w:anchor="reference/forarbeid/otprp-36-199394/s82" w:history="1">
              <w:r>
                <w:rPr>
                  <w:sz w:val="22"/>
                </w:rPr>
                <w:t>Ot.prp.nr.36 (1993–1994) side 82</w:t>
              </w:r>
            </w:hyperlink>
            <w:r>
              <w:rPr>
                <w:sz w:val="22"/>
              </w:rPr>
              <w:t>. Ønsket om fleksibilitet, og forutsetningen om at det skal foretas en konkret vurdering i det enkelte tilfellet, er ikke til hinder for at det i rettspraksis foretas en avklarende presisering av normen for bestemte typetilfeller.</w:t>
            </w:r>
          </w:p>
        </w:tc>
      </w:tr>
    </w:tbl>
    <w:p w14:paraId="295E3229" w14:textId="77777777" w:rsidR="00061875" w:rsidRDefault="00061875">
      <w:pPr>
        <w:rPr>
          <w:sz w:val="6"/>
        </w:rPr>
      </w:pPr>
    </w:p>
    <w:p w14:paraId="1DB71328"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2FADACE0" w14:textId="77777777">
        <w:tc>
          <w:tcPr>
            <w:tcW w:w="720" w:type="dxa"/>
            <w:noWrap/>
            <w:tcMar>
              <w:right w:w="80" w:type="dxa"/>
            </w:tcMar>
          </w:tcPr>
          <w:p w14:paraId="1366AB38" w14:textId="77777777" w:rsidR="00061875" w:rsidRDefault="00230B88">
            <w:pPr>
              <w:rPr>
                <w:sz w:val="22"/>
              </w:rPr>
            </w:pPr>
            <w:r>
              <w:rPr>
                <w:sz w:val="22"/>
              </w:rPr>
              <w:t>(26)</w:t>
            </w:r>
          </w:p>
        </w:tc>
        <w:tc>
          <w:tcPr>
            <w:tcW w:w="0" w:type="auto"/>
            <w:tcMar>
              <w:right w:w="80" w:type="dxa"/>
            </w:tcMar>
          </w:tcPr>
          <w:p w14:paraId="64C333F8" w14:textId="77777777" w:rsidR="00061875" w:rsidRDefault="00230B88">
            <w:pPr>
              <w:rPr>
                <w:sz w:val="22"/>
              </w:rPr>
            </w:pPr>
            <w:r>
              <w:rPr>
                <w:sz w:val="22"/>
              </w:rPr>
              <w:t>Kravet mot A</w:t>
            </w:r>
            <w:r>
              <w:rPr>
                <w:sz w:val="22"/>
              </w:rPr>
              <w:t xml:space="preserve"> bygger på at </w:t>
            </w:r>
            <w:proofErr w:type="spellStart"/>
            <w:r>
              <w:rPr>
                <w:sz w:val="22"/>
              </w:rPr>
              <w:t>Ulvesund</w:t>
            </w:r>
            <w:proofErr w:type="spellEnd"/>
            <w:r>
              <w:rPr>
                <w:sz w:val="22"/>
              </w:rPr>
              <w:t xml:space="preserve"> ikke ble informert om sviktende økonomi i [Firma1] før konkursen var et faktum i slutten av oktober 2011. Det gjøres gjeldende at </w:t>
            </w:r>
            <w:proofErr w:type="spellStart"/>
            <w:r>
              <w:rPr>
                <w:sz w:val="22"/>
              </w:rPr>
              <w:t>Ulvesund</w:t>
            </w:r>
            <w:proofErr w:type="spellEnd"/>
            <w:r>
              <w:rPr>
                <w:sz w:val="22"/>
              </w:rPr>
              <w:t xml:space="preserve"> hadde grunn til å forvente varsel om den vanskelige økonomiske utviklingen tidligere, og at A i egenskap av daglig leder i [Firma1] kan bebreides for at </w:t>
            </w:r>
            <w:proofErr w:type="spellStart"/>
            <w:r>
              <w:rPr>
                <w:sz w:val="22"/>
              </w:rPr>
              <w:t>Ulvesund</w:t>
            </w:r>
            <w:proofErr w:type="spellEnd"/>
            <w:r>
              <w:rPr>
                <w:sz w:val="22"/>
              </w:rPr>
              <w:t xml:space="preserve"> ikke fikk denne informasjonen på et tidspunkt som hadde satt </w:t>
            </w:r>
            <w:proofErr w:type="spellStart"/>
            <w:r>
              <w:rPr>
                <w:sz w:val="22"/>
              </w:rPr>
              <w:t>Ulvesund</w:t>
            </w:r>
            <w:proofErr w:type="spellEnd"/>
            <w:r>
              <w:rPr>
                <w:sz w:val="22"/>
              </w:rPr>
              <w:t xml:space="preserve"> i stand til å begrense sitt tap.</w:t>
            </w:r>
          </w:p>
        </w:tc>
      </w:tr>
    </w:tbl>
    <w:p w14:paraId="34CDE9EA" w14:textId="77777777" w:rsidR="00061875" w:rsidRDefault="00061875">
      <w:pPr>
        <w:rPr>
          <w:sz w:val="6"/>
        </w:rPr>
      </w:pPr>
    </w:p>
    <w:p w14:paraId="5A9375FF"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2D737CE3" w14:textId="77777777">
        <w:tc>
          <w:tcPr>
            <w:tcW w:w="720" w:type="dxa"/>
            <w:noWrap/>
            <w:tcMar>
              <w:right w:w="80" w:type="dxa"/>
            </w:tcMar>
          </w:tcPr>
          <w:p w14:paraId="6622961F" w14:textId="77777777" w:rsidR="00061875" w:rsidRDefault="00230B88">
            <w:pPr>
              <w:rPr>
                <w:sz w:val="22"/>
              </w:rPr>
            </w:pPr>
            <w:r>
              <w:rPr>
                <w:sz w:val="22"/>
              </w:rPr>
              <w:lastRenderedPageBreak/>
              <w:t>(27)</w:t>
            </w:r>
          </w:p>
        </w:tc>
        <w:tc>
          <w:tcPr>
            <w:tcW w:w="0" w:type="auto"/>
            <w:tcMar>
              <w:right w:w="80" w:type="dxa"/>
            </w:tcMar>
          </w:tcPr>
          <w:p w14:paraId="57E5FEF9" w14:textId="77777777" w:rsidR="00061875" w:rsidRDefault="00230B88">
            <w:pPr>
              <w:rPr>
                <w:sz w:val="22"/>
              </w:rPr>
            </w:pPr>
            <w:r>
              <w:rPr>
                <w:sz w:val="22"/>
              </w:rPr>
              <w:t xml:space="preserve">Jeg ser først på </w:t>
            </w:r>
            <w:r>
              <w:rPr>
                <w:i/>
                <w:sz w:val="22"/>
              </w:rPr>
              <w:t>økonomien</w:t>
            </w:r>
            <w:r>
              <w:rPr>
                <w:sz w:val="22"/>
              </w:rPr>
              <w:t xml:space="preserve"> i [Firma1], med utgangspunkt i den rekonstruksjonen som </w:t>
            </w:r>
            <w:proofErr w:type="spellStart"/>
            <w:r>
              <w:rPr>
                <w:sz w:val="22"/>
              </w:rPr>
              <w:t>borevisor</w:t>
            </w:r>
            <w:proofErr w:type="spellEnd"/>
            <w:r>
              <w:rPr>
                <w:sz w:val="22"/>
              </w:rPr>
              <w:t xml:space="preserve"> har foretatt i sin rapport.</w:t>
            </w:r>
          </w:p>
        </w:tc>
      </w:tr>
    </w:tbl>
    <w:p w14:paraId="428ACF8E" w14:textId="77777777" w:rsidR="00061875" w:rsidRDefault="00061875">
      <w:pPr>
        <w:rPr>
          <w:sz w:val="6"/>
        </w:rPr>
      </w:pPr>
    </w:p>
    <w:p w14:paraId="6249522D"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5A76A3A5" w14:textId="77777777">
        <w:tc>
          <w:tcPr>
            <w:tcW w:w="720" w:type="dxa"/>
            <w:noWrap/>
            <w:tcMar>
              <w:right w:w="80" w:type="dxa"/>
            </w:tcMar>
          </w:tcPr>
          <w:p w14:paraId="31E26F27" w14:textId="77777777" w:rsidR="00061875" w:rsidRDefault="00230B88">
            <w:pPr>
              <w:rPr>
                <w:sz w:val="22"/>
              </w:rPr>
            </w:pPr>
            <w:r>
              <w:rPr>
                <w:sz w:val="22"/>
              </w:rPr>
              <w:t>(28)</w:t>
            </w:r>
          </w:p>
        </w:tc>
        <w:tc>
          <w:tcPr>
            <w:tcW w:w="0" w:type="auto"/>
            <w:tcMar>
              <w:right w:w="80" w:type="dxa"/>
            </w:tcMar>
          </w:tcPr>
          <w:p w14:paraId="56CEE6BC" w14:textId="77777777" w:rsidR="00061875" w:rsidRDefault="00230B88">
            <w:pPr>
              <w:rPr>
                <w:sz w:val="22"/>
              </w:rPr>
            </w:pPr>
            <w:r>
              <w:rPr>
                <w:sz w:val="22"/>
              </w:rPr>
              <w:t>Ved inngangen til 2011 hadde [Firma1]</w:t>
            </w:r>
            <w:r>
              <w:rPr>
                <w:sz w:val="22"/>
              </w:rPr>
              <w:t xml:space="preserve"> en regnskapsført egenkapital på 7 millioner kroner. Den samlede omsetningen i 2011 var på drøyt 113 millioner kroner, som i all hovedsak knyttet seg til bygg nr. 34 </w:t>
            </w:r>
            <w:proofErr w:type="spellStart"/>
            <w:r>
              <w:rPr>
                <w:sz w:val="22"/>
              </w:rPr>
              <w:t>X</w:t>
            </w:r>
            <w:proofErr w:type="spellEnd"/>
            <w:r>
              <w:rPr>
                <w:sz w:val="22"/>
              </w:rPr>
              <w:t xml:space="preserve">, bygg nr. 35 Y og bygg nr. 36 Z. Finansieringen i [Firma1] har </w:t>
            </w:r>
            <w:proofErr w:type="spellStart"/>
            <w:r>
              <w:rPr>
                <w:sz w:val="22"/>
              </w:rPr>
              <w:t>borevisor</w:t>
            </w:r>
            <w:proofErr w:type="spellEnd"/>
            <w:r>
              <w:rPr>
                <w:sz w:val="22"/>
              </w:rPr>
              <w:t xml:space="preserve"> karakterisert som «meget tynn». Selskapet var avhengig av kreditter fra underleverandører og løpende innbetalinger fra oppdragsgivere. For bygg nr. 34 </w:t>
            </w:r>
            <w:proofErr w:type="spellStart"/>
            <w:r>
              <w:rPr>
                <w:sz w:val="22"/>
              </w:rPr>
              <w:t>X</w:t>
            </w:r>
            <w:proofErr w:type="spellEnd"/>
            <w:r>
              <w:rPr>
                <w:sz w:val="22"/>
              </w:rPr>
              <w:t xml:space="preserve"> ble det dessuten avtalt at blant andre </w:t>
            </w:r>
            <w:proofErr w:type="spellStart"/>
            <w:r>
              <w:rPr>
                <w:sz w:val="22"/>
              </w:rPr>
              <w:t>Ulvesund</w:t>
            </w:r>
            <w:proofErr w:type="spellEnd"/>
            <w:r>
              <w:rPr>
                <w:sz w:val="22"/>
              </w:rPr>
              <w:t xml:space="preserve"> ikke skulle få oppgjør for sine leveranser før båten var overlevert ti</w:t>
            </w:r>
            <w:r>
              <w:rPr>
                <w:sz w:val="22"/>
              </w:rPr>
              <w:t>l reder.</w:t>
            </w:r>
          </w:p>
        </w:tc>
      </w:tr>
    </w:tbl>
    <w:p w14:paraId="1470D99F" w14:textId="77777777" w:rsidR="00061875" w:rsidRDefault="00061875">
      <w:pPr>
        <w:rPr>
          <w:sz w:val="6"/>
        </w:rPr>
      </w:pPr>
    </w:p>
    <w:p w14:paraId="485952B9"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4F66E70A" w14:textId="77777777">
        <w:tc>
          <w:tcPr>
            <w:tcW w:w="720" w:type="dxa"/>
            <w:noWrap/>
            <w:tcMar>
              <w:right w:w="80" w:type="dxa"/>
            </w:tcMar>
          </w:tcPr>
          <w:p w14:paraId="25C75242" w14:textId="77777777" w:rsidR="00061875" w:rsidRDefault="00230B88">
            <w:pPr>
              <w:rPr>
                <w:sz w:val="22"/>
              </w:rPr>
            </w:pPr>
            <w:r>
              <w:rPr>
                <w:sz w:val="22"/>
              </w:rPr>
              <w:t>(29)</w:t>
            </w:r>
          </w:p>
        </w:tc>
        <w:tc>
          <w:tcPr>
            <w:tcW w:w="0" w:type="auto"/>
            <w:tcMar>
              <w:right w:w="80" w:type="dxa"/>
            </w:tcMar>
          </w:tcPr>
          <w:p w14:paraId="6AAB79A7" w14:textId="77777777" w:rsidR="00061875" w:rsidRDefault="00230B88">
            <w:pPr>
              <w:rPr>
                <w:sz w:val="22"/>
              </w:rPr>
            </w:pPr>
            <w:proofErr w:type="spellStart"/>
            <w:r>
              <w:rPr>
                <w:sz w:val="22"/>
              </w:rPr>
              <w:t>Borevisor</w:t>
            </w:r>
            <w:proofErr w:type="spellEnd"/>
            <w:r>
              <w:rPr>
                <w:sz w:val="22"/>
              </w:rPr>
              <w:t xml:space="preserve"> har estimert underskuddet i 2011 til 25,5 millioner kroner, som gjaldt faste kostnader med 12 millioner kroner, negativt dekningsbidrag fra bygg nr. 34 </w:t>
            </w:r>
            <w:proofErr w:type="spellStart"/>
            <w:r>
              <w:rPr>
                <w:sz w:val="22"/>
              </w:rPr>
              <w:t>X</w:t>
            </w:r>
            <w:proofErr w:type="spellEnd"/>
            <w:r>
              <w:rPr>
                <w:sz w:val="22"/>
              </w:rPr>
              <w:t xml:space="preserve"> og bygg nr. 35 Y med henholdsvis 6 og 9 millioner kroner og nedskrivning på varebeholdningen med 2,5 millioner kroner. Det er ikke påvist ekstraordinære eller mer akutte årsaker til underskuddet i 2011, som – ut fra den samlede omsetningen dette året – må karakteriseres som meget betydelig. Jeg legger til grunn at underskuddet bygget seg opp gradvis gjenn</w:t>
            </w:r>
            <w:r>
              <w:rPr>
                <w:sz w:val="22"/>
              </w:rPr>
              <w:t>om hele 2011, i all hovedsak som et resultat av at kostnadene med å bygge de tre båtene ble markert høyere enn forutsatt, i kombinasjon med mangel på økonomistyring. Sommeren 2011 må det ha vært en betydelig underbalanse – insuffisiens – i [Firma1].</w:t>
            </w:r>
          </w:p>
        </w:tc>
      </w:tr>
    </w:tbl>
    <w:p w14:paraId="39BA4FA3" w14:textId="77777777" w:rsidR="00061875" w:rsidRDefault="00061875">
      <w:pPr>
        <w:rPr>
          <w:sz w:val="6"/>
        </w:rPr>
      </w:pPr>
    </w:p>
    <w:p w14:paraId="3B8DF45C"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32303E77" w14:textId="77777777">
        <w:tc>
          <w:tcPr>
            <w:tcW w:w="720" w:type="dxa"/>
            <w:noWrap/>
            <w:tcMar>
              <w:right w:w="80" w:type="dxa"/>
            </w:tcMar>
          </w:tcPr>
          <w:p w14:paraId="4FE44696" w14:textId="77777777" w:rsidR="00061875" w:rsidRDefault="00230B88">
            <w:pPr>
              <w:rPr>
                <w:sz w:val="22"/>
              </w:rPr>
            </w:pPr>
            <w:r>
              <w:rPr>
                <w:sz w:val="22"/>
              </w:rPr>
              <w:t>(30)</w:t>
            </w:r>
          </w:p>
        </w:tc>
        <w:tc>
          <w:tcPr>
            <w:tcW w:w="0" w:type="auto"/>
            <w:tcMar>
              <w:right w:w="80" w:type="dxa"/>
            </w:tcMar>
          </w:tcPr>
          <w:p w14:paraId="0374C82E" w14:textId="77777777" w:rsidR="00061875" w:rsidRDefault="00230B88">
            <w:pPr>
              <w:rPr>
                <w:sz w:val="22"/>
              </w:rPr>
            </w:pPr>
            <w:proofErr w:type="spellStart"/>
            <w:r>
              <w:rPr>
                <w:sz w:val="22"/>
              </w:rPr>
              <w:t>Borevisor</w:t>
            </w:r>
            <w:proofErr w:type="spellEnd"/>
            <w:r>
              <w:rPr>
                <w:sz w:val="22"/>
              </w:rPr>
              <w:t xml:space="preserve"> har lagt til grunn at [Firma1]</w:t>
            </w:r>
            <w:r>
              <w:rPr>
                <w:sz w:val="22"/>
              </w:rPr>
              <w:t xml:space="preserve"> ble insolvent i løpet av september 2011, under henvisning til at størstedelen av gjelden hadde forfall etter 1. september. Lagmannsretten fant ikke grunn til å fravike dette. Jeg oppfatter lagmannsretten slik at den da har bygget på den forståelse av </w:t>
            </w:r>
            <w:hyperlink r:id="rId19" w:anchor="reference/lov/1984-06-08-58/§61" w:history="1">
              <w:r>
                <w:rPr>
                  <w:sz w:val="22"/>
                </w:rPr>
                <w:t>konkursloven § 61</w:t>
              </w:r>
            </w:hyperlink>
            <w:r>
              <w:rPr>
                <w:sz w:val="22"/>
              </w:rPr>
              <w:t xml:space="preserve"> at betalingsudyktigheten allerede må være inntrådt – at </w:t>
            </w:r>
            <w:r>
              <w:rPr>
                <w:i/>
                <w:sz w:val="22"/>
              </w:rPr>
              <w:t>illikviditet</w:t>
            </w:r>
            <w:r>
              <w:rPr>
                <w:sz w:val="22"/>
              </w:rPr>
              <w:t xml:space="preserve"> først foreligger når det rent faktisk viser seg at debitor ikke makter å gjøre opp ved forfall, jf. side 10 første avsnitt i lagmannsrettens dom. Dette er, etter mitt syn, en for snever forståelse av insolvensbegrepet i en situasjon der det allerede er på det rene at debitor har betalingsproblemer. Spørsmålet om debitor «kan oppfylle sine forpliktelser etter hvert som de forfaller» må da besvares ut fra om de likvider som han disponerer, </w:t>
            </w:r>
            <w:r>
              <w:rPr>
                <w:sz w:val="22"/>
              </w:rPr>
              <w:t xml:space="preserve">med tillegg av de likvider han i fremtiden antas å ville få tilgang til, er tilstrekkelige til å dekke hans allerede forfalte forpliktelser samt hans øvrige forpliktelser etter hvert som disse forfaller til betaling. Jeg viser til </w:t>
            </w:r>
            <w:r>
              <w:rPr>
                <w:i/>
                <w:sz w:val="22"/>
              </w:rPr>
              <w:t>Løvold</w:t>
            </w:r>
            <w:r>
              <w:rPr>
                <w:sz w:val="22"/>
              </w:rPr>
              <w:t>, Brækhus' Omsetning og kreditt I, 2015 side 171. Med dette rettslige utgangspunktet gir lagmannsrettens bevisbedømmelse, slik den fremgår av side 10-12 i dommen, etter mitt syn grunnlag for å konkludere med at selskapet iallfall var insolvent medio august 2011, etter overle</w:t>
            </w:r>
            <w:r>
              <w:rPr>
                <w:sz w:val="22"/>
              </w:rPr>
              <w:t xml:space="preserve">veringen av bygg nr. 34 </w:t>
            </w:r>
            <w:proofErr w:type="spellStart"/>
            <w:r>
              <w:rPr>
                <w:sz w:val="22"/>
              </w:rPr>
              <w:t>X</w:t>
            </w:r>
            <w:proofErr w:type="spellEnd"/>
            <w:r>
              <w:rPr>
                <w:sz w:val="22"/>
              </w:rPr>
              <w:t>.</w:t>
            </w:r>
          </w:p>
        </w:tc>
      </w:tr>
    </w:tbl>
    <w:p w14:paraId="7FD92615" w14:textId="77777777" w:rsidR="00061875" w:rsidRDefault="00061875">
      <w:pPr>
        <w:rPr>
          <w:sz w:val="6"/>
        </w:rPr>
      </w:pPr>
    </w:p>
    <w:p w14:paraId="4896DF13"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6F27725F" w14:textId="77777777">
        <w:tc>
          <w:tcPr>
            <w:tcW w:w="720" w:type="dxa"/>
            <w:noWrap/>
            <w:tcMar>
              <w:right w:w="80" w:type="dxa"/>
            </w:tcMar>
          </w:tcPr>
          <w:p w14:paraId="5EF8C806" w14:textId="77777777" w:rsidR="00061875" w:rsidRDefault="00230B88">
            <w:pPr>
              <w:rPr>
                <w:sz w:val="22"/>
              </w:rPr>
            </w:pPr>
            <w:r>
              <w:rPr>
                <w:sz w:val="22"/>
              </w:rPr>
              <w:t>(31)</w:t>
            </w:r>
          </w:p>
        </w:tc>
        <w:tc>
          <w:tcPr>
            <w:tcW w:w="0" w:type="auto"/>
            <w:tcMar>
              <w:right w:w="80" w:type="dxa"/>
            </w:tcMar>
          </w:tcPr>
          <w:p w14:paraId="091E6C25" w14:textId="77777777" w:rsidR="00061875" w:rsidRDefault="00230B88">
            <w:pPr>
              <w:rPr>
                <w:sz w:val="22"/>
              </w:rPr>
            </w:pPr>
            <w:r>
              <w:rPr>
                <w:sz w:val="22"/>
              </w:rPr>
              <w:t xml:space="preserve">Det er et særtrekk ved denne saken at A og styret ikke ble oppmerksomme på hvor ille det sto til med [Firma1]s økonomi før i oktober 2011, kort tid før styret besluttet å begjære oppbud. Basert på </w:t>
            </w:r>
            <w:proofErr w:type="spellStart"/>
            <w:r>
              <w:rPr>
                <w:sz w:val="22"/>
              </w:rPr>
              <w:t>borevisors</w:t>
            </w:r>
            <w:proofErr w:type="spellEnd"/>
            <w:r>
              <w:rPr>
                <w:sz w:val="22"/>
              </w:rPr>
              <w:t xml:space="preserve"> rapport og lagmannsrettens bevisvurdering må jeg legge til grunn at årsaken til at ledelsen i var uvitende om den reelle økonomiske situasjonen i selskapet, først og fremst var mangler ved regnskapsførselen og rapporteringsrutinene: Pålitelig informasjon om økonomien i den bærende og kritiske delen av [Firma1]s virksomhet gjennom hele 2011 – byggingen av </w:t>
            </w:r>
            <w:proofErr w:type="spellStart"/>
            <w:r>
              <w:rPr>
                <w:sz w:val="22"/>
              </w:rPr>
              <w:t>X</w:t>
            </w:r>
            <w:proofErr w:type="spellEnd"/>
            <w:r>
              <w:rPr>
                <w:sz w:val="22"/>
              </w:rPr>
              <w:t>, Y og Z – var ikke tilfredsstillende integrert i selskapets regnskap.</w:t>
            </w:r>
          </w:p>
        </w:tc>
      </w:tr>
    </w:tbl>
    <w:p w14:paraId="575BA9C9" w14:textId="77777777" w:rsidR="00061875" w:rsidRDefault="00061875">
      <w:pPr>
        <w:rPr>
          <w:sz w:val="6"/>
        </w:rPr>
      </w:pPr>
    </w:p>
    <w:p w14:paraId="728D66D9"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3C6348F9" w14:textId="77777777">
        <w:tc>
          <w:tcPr>
            <w:tcW w:w="720" w:type="dxa"/>
            <w:noWrap/>
            <w:tcMar>
              <w:right w:w="80" w:type="dxa"/>
            </w:tcMar>
          </w:tcPr>
          <w:p w14:paraId="35AF8313" w14:textId="77777777" w:rsidR="00061875" w:rsidRDefault="00230B88">
            <w:pPr>
              <w:rPr>
                <w:sz w:val="22"/>
              </w:rPr>
            </w:pPr>
            <w:r>
              <w:rPr>
                <w:sz w:val="22"/>
              </w:rPr>
              <w:t>(32)</w:t>
            </w:r>
          </w:p>
        </w:tc>
        <w:tc>
          <w:tcPr>
            <w:tcW w:w="0" w:type="auto"/>
            <w:tcMar>
              <w:right w:w="80" w:type="dxa"/>
            </w:tcMar>
          </w:tcPr>
          <w:p w14:paraId="29444DA4" w14:textId="77777777" w:rsidR="00061875" w:rsidRDefault="00230B88">
            <w:pPr>
              <w:rPr>
                <w:sz w:val="22"/>
              </w:rPr>
            </w:pPr>
            <w:r>
              <w:rPr>
                <w:sz w:val="22"/>
              </w:rPr>
              <w:t xml:space="preserve">Det er av denne grunn også på det rene at verken </w:t>
            </w:r>
            <w:proofErr w:type="spellStart"/>
            <w:r>
              <w:rPr>
                <w:sz w:val="22"/>
              </w:rPr>
              <w:t>Ulvesund</w:t>
            </w:r>
            <w:proofErr w:type="spellEnd"/>
            <w:r>
              <w:rPr>
                <w:sz w:val="22"/>
              </w:rPr>
              <w:t xml:space="preserve"> eller noen andre leverandører fikk noen informasjon om den kritiske økonomiske utviklingen i [Firma1]. I en e-post 15. august 2011, med purring 17. august, etterlyste </w:t>
            </w:r>
            <w:proofErr w:type="spellStart"/>
            <w:r>
              <w:rPr>
                <w:sz w:val="22"/>
              </w:rPr>
              <w:t>Ulvesund</w:t>
            </w:r>
            <w:proofErr w:type="spellEnd"/>
            <w:r>
              <w:rPr>
                <w:sz w:val="22"/>
              </w:rPr>
              <w:t xml:space="preserve"> oppgjør for allerede utførte leveranser og varslet stans i arbeidet dersom oppgjør ikke var på plass innen få dager. I sitt svar 17. august 2011 opplyste A om «en likviditetsutfordring som vi må ta opp med banken vår på grunn av store beløp i </w:t>
            </w:r>
            <w:proofErr w:type="spellStart"/>
            <w:r>
              <w:rPr>
                <w:sz w:val="22"/>
              </w:rPr>
              <w:t>mva</w:t>
            </w:r>
            <w:proofErr w:type="spellEnd"/>
            <w:r>
              <w:rPr>
                <w:sz w:val="22"/>
              </w:rPr>
              <w:t xml:space="preserve"> for å kunne gjøre opp hele beløpet på </w:t>
            </w:r>
            <w:proofErr w:type="spellStart"/>
            <w:r>
              <w:rPr>
                <w:sz w:val="22"/>
              </w:rPr>
              <w:t>X</w:t>
            </w:r>
            <w:proofErr w:type="spellEnd"/>
            <w:r>
              <w:rPr>
                <w:sz w:val="22"/>
              </w:rPr>
              <w:t>». Men A forsikret samtidig om at [Firma1</w:t>
            </w:r>
            <w:r>
              <w:rPr>
                <w:sz w:val="22"/>
              </w:rPr>
              <w:t xml:space="preserve">] «er fullt innstilt på å betale det vi skylder dere». Dette ble i og for seg også bekreftet ved at </w:t>
            </w:r>
            <w:proofErr w:type="spellStart"/>
            <w:r>
              <w:rPr>
                <w:sz w:val="22"/>
              </w:rPr>
              <w:t>Ulvesund</w:t>
            </w:r>
            <w:proofErr w:type="spellEnd"/>
            <w:r>
              <w:rPr>
                <w:sz w:val="22"/>
              </w:rPr>
              <w:t xml:space="preserve"> i løpet av august og september mottok i alt 12,7 millioner kroner i oppgjør til dekning av de utestående kravene.</w:t>
            </w:r>
          </w:p>
        </w:tc>
      </w:tr>
    </w:tbl>
    <w:p w14:paraId="47F33B5E" w14:textId="77777777" w:rsidR="00061875" w:rsidRDefault="00061875">
      <w:pPr>
        <w:rPr>
          <w:sz w:val="6"/>
        </w:rPr>
      </w:pPr>
    </w:p>
    <w:p w14:paraId="593966DB"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6755A3D4" w14:textId="77777777">
        <w:tc>
          <w:tcPr>
            <w:tcW w:w="720" w:type="dxa"/>
            <w:noWrap/>
            <w:tcMar>
              <w:right w:w="80" w:type="dxa"/>
            </w:tcMar>
          </w:tcPr>
          <w:p w14:paraId="0A2BB402" w14:textId="77777777" w:rsidR="00061875" w:rsidRDefault="00230B88">
            <w:pPr>
              <w:rPr>
                <w:sz w:val="22"/>
              </w:rPr>
            </w:pPr>
            <w:r>
              <w:rPr>
                <w:sz w:val="22"/>
              </w:rPr>
              <w:t>(33)</w:t>
            </w:r>
          </w:p>
        </w:tc>
        <w:tc>
          <w:tcPr>
            <w:tcW w:w="0" w:type="auto"/>
            <w:tcMar>
              <w:right w:w="80" w:type="dxa"/>
            </w:tcMar>
          </w:tcPr>
          <w:p w14:paraId="49A5590A" w14:textId="77777777" w:rsidR="00061875" w:rsidRDefault="00230B88">
            <w:pPr>
              <w:rPr>
                <w:sz w:val="22"/>
              </w:rPr>
            </w:pPr>
            <w:r>
              <w:rPr>
                <w:sz w:val="22"/>
              </w:rPr>
              <w:t xml:space="preserve">Jeg går da over til spørsmålet om </w:t>
            </w:r>
            <w:proofErr w:type="spellStart"/>
            <w:r>
              <w:rPr>
                <w:sz w:val="22"/>
              </w:rPr>
              <w:t>Ulvesund</w:t>
            </w:r>
            <w:proofErr w:type="spellEnd"/>
            <w:r>
              <w:rPr>
                <w:sz w:val="22"/>
              </w:rPr>
              <w:t xml:space="preserve"> hadde krav på å få </w:t>
            </w:r>
            <w:r>
              <w:rPr>
                <w:i/>
                <w:sz w:val="22"/>
              </w:rPr>
              <w:t>informasjon</w:t>
            </w:r>
            <w:r>
              <w:rPr>
                <w:sz w:val="22"/>
              </w:rPr>
              <w:t xml:space="preserve"> om eventuelle fremtidige betalingsproblemer hos [Firma1].</w:t>
            </w:r>
          </w:p>
        </w:tc>
      </w:tr>
    </w:tbl>
    <w:p w14:paraId="5B7AFBFE" w14:textId="77777777" w:rsidR="00061875" w:rsidRDefault="00061875">
      <w:pPr>
        <w:rPr>
          <w:sz w:val="6"/>
        </w:rPr>
      </w:pPr>
    </w:p>
    <w:p w14:paraId="18222268"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1A543A63" w14:textId="77777777">
        <w:tc>
          <w:tcPr>
            <w:tcW w:w="720" w:type="dxa"/>
            <w:noWrap/>
            <w:tcMar>
              <w:right w:w="80" w:type="dxa"/>
            </w:tcMar>
          </w:tcPr>
          <w:p w14:paraId="708EAF2B" w14:textId="77777777" w:rsidR="00061875" w:rsidRDefault="00230B88">
            <w:pPr>
              <w:rPr>
                <w:sz w:val="22"/>
              </w:rPr>
            </w:pPr>
            <w:r>
              <w:rPr>
                <w:sz w:val="22"/>
              </w:rPr>
              <w:lastRenderedPageBreak/>
              <w:t>(34)</w:t>
            </w:r>
          </w:p>
        </w:tc>
        <w:tc>
          <w:tcPr>
            <w:tcW w:w="0" w:type="auto"/>
            <w:tcMar>
              <w:right w:w="80" w:type="dxa"/>
            </w:tcMar>
          </w:tcPr>
          <w:p w14:paraId="2CE2F816" w14:textId="77777777" w:rsidR="00061875" w:rsidRDefault="00230B88">
            <w:pPr>
              <w:rPr>
                <w:sz w:val="22"/>
              </w:rPr>
            </w:pPr>
            <w:r>
              <w:rPr>
                <w:sz w:val="22"/>
              </w:rPr>
              <w:t xml:space="preserve">Noen plikt til å gi informasjon om slike betalingsproblemer kan ikke utledes verken av lov eller de konkrete avtalene mellom [Firma1] og </w:t>
            </w:r>
            <w:proofErr w:type="spellStart"/>
            <w:r>
              <w:rPr>
                <w:sz w:val="22"/>
              </w:rPr>
              <w:t>Ulvesund</w:t>
            </w:r>
            <w:proofErr w:type="spellEnd"/>
            <w:r>
              <w:rPr>
                <w:sz w:val="22"/>
              </w:rPr>
              <w:t xml:space="preserve">. Men en slik plikt for [Firma1] til å varsle </w:t>
            </w:r>
            <w:proofErr w:type="spellStart"/>
            <w:r>
              <w:rPr>
                <w:sz w:val="22"/>
              </w:rPr>
              <w:t>Ulvesund</w:t>
            </w:r>
            <w:proofErr w:type="spellEnd"/>
            <w:r>
              <w:rPr>
                <w:sz w:val="22"/>
              </w:rPr>
              <w:t xml:space="preserve"> følger, etter mitt syn, av det alminnelige ulovfestede kravet om aktsomhet og lojalitet mellom kontraktsparter. Jeg viser spesielt til </w:t>
            </w:r>
            <w:hyperlink r:id="rId20" w:anchor="reference/avgjorelse/rt-1988-1078" w:history="1">
              <w:r>
                <w:rPr>
                  <w:sz w:val="22"/>
                </w:rPr>
                <w:t>Rt-1988-1078</w:t>
              </w:r>
            </w:hyperlink>
            <w:r>
              <w:rPr>
                <w:sz w:val="22"/>
              </w:rPr>
              <w:t xml:space="preserve"> (Skipsgaranti), om bortfall av kausjonsforhold fordi kausjonisten ikke hadde blitt informert om en forhøyet risiko for tap. Førstvoterende fremholder på side 1084 i dommen at det i kausjonsforhold, som i kontraktsforhold ellers, «må stilles krav til aktsom og lojal opptreden». «Dette kravet til aktsomhet og lojalitet må gjelde», fortsetter førstvoterende, «ikke bare ved stiftelsen», men «så lenge forpliktelsen består». Uttalelsen er gjentatt i </w:t>
            </w:r>
            <w:hyperlink r:id="rId21" w:anchor="reference/avgjorelse/rt-1995-1460/s1469" w:history="1">
              <w:r>
                <w:rPr>
                  <w:sz w:val="22"/>
                </w:rPr>
                <w:t>Rt-1995-1460, på side 1469</w:t>
              </w:r>
            </w:hyperlink>
            <w:r>
              <w:rPr>
                <w:sz w:val="22"/>
              </w:rPr>
              <w:t>. Informasjon om at man ikke vil kunne klare å oppfylle sin del av avtalen – for eksempel plikten til å betale ved forfall – ligger nok i et kjerneområde.</w:t>
            </w:r>
          </w:p>
        </w:tc>
      </w:tr>
    </w:tbl>
    <w:p w14:paraId="2C50AC00" w14:textId="77777777" w:rsidR="00061875" w:rsidRDefault="00061875">
      <w:pPr>
        <w:rPr>
          <w:sz w:val="6"/>
        </w:rPr>
      </w:pPr>
    </w:p>
    <w:p w14:paraId="2DE35325"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34279980" w14:textId="77777777">
        <w:tc>
          <w:tcPr>
            <w:tcW w:w="720" w:type="dxa"/>
            <w:noWrap/>
            <w:tcMar>
              <w:right w:w="80" w:type="dxa"/>
            </w:tcMar>
          </w:tcPr>
          <w:p w14:paraId="04F96F70" w14:textId="77777777" w:rsidR="00061875" w:rsidRDefault="00230B88">
            <w:pPr>
              <w:rPr>
                <w:sz w:val="22"/>
              </w:rPr>
            </w:pPr>
            <w:r>
              <w:rPr>
                <w:sz w:val="22"/>
              </w:rPr>
              <w:t>(35)</w:t>
            </w:r>
          </w:p>
        </w:tc>
        <w:tc>
          <w:tcPr>
            <w:tcW w:w="0" w:type="auto"/>
            <w:tcMar>
              <w:right w:w="80" w:type="dxa"/>
            </w:tcMar>
          </w:tcPr>
          <w:p w14:paraId="7034C99E" w14:textId="77777777" w:rsidR="00061875" w:rsidRDefault="00230B88">
            <w:pPr>
              <w:rPr>
                <w:sz w:val="22"/>
              </w:rPr>
            </w:pPr>
            <w:r>
              <w:rPr>
                <w:sz w:val="22"/>
              </w:rPr>
              <w:t>Rekkevidden av den kontraktsrettslige lojalitetsplikten i løpende kontraktsforhold vil i høy grad bero på kontraktstypen og forholdene ellers. Men det bør, etter mitt syn, være et utgangspunkt at et insolvent selskap som mottar nye leveranser på kreditt, forventes å gjøre medkontrahenten oppmerksom på at det har inntrådt en svikt i selskapets økonomi som innebærer at det ikke regner med å kunne gjøre opp for de nye leveransene ved forfall – i realiteten er det da grunnlag for å konstatere antesipert misligh</w:t>
            </w:r>
            <w:r>
              <w:rPr>
                <w:sz w:val="22"/>
              </w:rPr>
              <w:t xml:space="preserve">old. Jeg viser her også til </w:t>
            </w:r>
            <w:hyperlink r:id="rId22" w:anchor="reference/avgjorelse/rt-2011-562/a43" w:history="1">
              <w:r>
                <w:rPr>
                  <w:sz w:val="22"/>
                </w:rPr>
                <w:t>Rt-2011-562 avsnitt 43</w:t>
              </w:r>
            </w:hyperlink>
            <w:r>
              <w:rPr>
                <w:sz w:val="22"/>
              </w:rPr>
              <w:t xml:space="preserve">, hvor det var avgjørende at kreditorene ble utsatt for «en helt annen risiko enn det som var forutsetningen for ordningen» og en «åpenbar tapsrisiko». I saken her ligger det iallfall slik an at </w:t>
            </w:r>
            <w:proofErr w:type="spellStart"/>
            <w:r>
              <w:rPr>
                <w:sz w:val="22"/>
              </w:rPr>
              <w:t>Ulvesund</w:t>
            </w:r>
            <w:proofErr w:type="spellEnd"/>
            <w:r>
              <w:rPr>
                <w:sz w:val="22"/>
              </w:rPr>
              <w:t xml:space="preserve"> hadde grunn til å forvente varsel. Det er snakk om større tilvirkningskontrakter med en viss varighet, partene hadde samarbeidet om andre prosjekter og </w:t>
            </w:r>
            <w:proofErr w:type="spellStart"/>
            <w:r>
              <w:rPr>
                <w:sz w:val="22"/>
              </w:rPr>
              <w:t>Ulvesund</w:t>
            </w:r>
            <w:proofErr w:type="spellEnd"/>
            <w:r>
              <w:rPr>
                <w:sz w:val="22"/>
              </w:rPr>
              <w:t xml:space="preserve"> hadde allerede, etter [Firma1]s initiativ, tatt en forhøyet kredittrisiko for sitt arbeid på bygg nr. 34 </w:t>
            </w:r>
            <w:proofErr w:type="spellStart"/>
            <w:r>
              <w:rPr>
                <w:sz w:val="22"/>
              </w:rPr>
              <w:t>X</w:t>
            </w:r>
            <w:proofErr w:type="spellEnd"/>
            <w:r>
              <w:rPr>
                <w:sz w:val="22"/>
              </w:rPr>
              <w:t>.</w:t>
            </w:r>
          </w:p>
        </w:tc>
      </w:tr>
    </w:tbl>
    <w:p w14:paraId="6E389AF0" w14:textId="77777777" w:rsidR="00061875" w:rsidRDefault="00061875">
      <w:pPr>
        <w:rPr>
          <w:sz w:val="6"/>
        </w:rPr>
      </w:pPr>
    </w:p>
    <w:p w14:paraId="0C9CE86B"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6AACABD9" w14:textId="77777777">
        <w:tc>
          <w:tcPr>
            <w:tcW w:w="720" w:type="dxa"/>
            <w:noWrap/>
            <w:tcMar>
              <w:right w:w="80" w:type="dxa"/>
            </w:tcMar>
          </w:tcPr>
          <w:p w14:paraId="7A8D14D4" w14:textId="77777777" w:rsidR="00061875" w:rsidRDefault="00230B88">
            <w:pPr>
              <w:rPr>
                <w:sz w:val="22"/>
              </w:rPr>
            </w:pPr>
            <w:r>
              <w:rPr>
                <w:sz w:val="22"/>
              </w:rPr>
              <w:t>(36)</w:t>
            </w:r>
          </w:p>
        </w:tc>
        <w:tc>
          <w:tcPr>
            <w:tcW w:w="0" w:type="auto"/>
            <w:tcMar>
              <w:right w:w="80" w:type="dxa"/>
            </w:tcMar>
          </w:tcPr>
          <w:p w14:paraId="1164FF8E" w14:textId="77777777" w:rsidR="00061875" w:rsidRDefault="00230B88">
            <w:pPr>
              <w:rPr>
                <w:sz w:val="22"/>
              </w:rPr>
            </w:pPr>
            <w:r>
              <w:rPr>
                <w:sz w:val="22"/>
              </w:rPr>
              <w:t xml:space="preserve">Skal A kunne holdes personlig ansvarlig etter </w:t>
            </w:r>
            <w:hyperlink r:id="rId23" w:anchor="reference/lov/1997-06-13-44/§17-1" w:history="1">
              <w:r>
                <w:rPr>
                  <w:sz w:val="22"/>
                </w:rPr>
                <w:t>aksjeloven § 17-1</w:t>
              </w:r>
            </w:hyperlink>
            <w:r>
              <w:rPr>
                <w:sz w:val="22"/>
              </w:rPr>
              <w:t xml:space="preserve"> må det kunne bebreides ham som uaktsomt – i hans egenskap av daglig leder i [Firma1] – at </w:t>
            </w:r>
            <w:proofErr w:type="spellStart"/>
            <w:r>
              <w:rPr>
                <w:sz w:val="22"/>
              </w:rPr>
              <w:t>Ulvesund</w:t>
            </w:r>
            <w:proofErr w:type="spellEnd"/>
            <w:r>
              <w:rPr>
                <w:sz w:val="22"/>
              </w:rPr>
              <w:t xml:space="preserve"> ikke fikk informasjon om [Firma1]s økonomiske vanskeligheter på et tidligere tidspunkt.</w:t>
            </w:r>
          </w:p>
        </w:tc>
      </w:tr>
    </w:tbl>
    <w:p w14:paraId="7D4985AF" w14:textId="77777777" w:rsidR="00061875" w:rsidRDefault="00061875">
      <w:pPr>
        <w:rPr>
          <w:sz w:val="6"/>
        </w:rPr>
      </w:pPr>
    </w:p>
    <w:p w14:paraId="089A9352"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59E48A7E" w14:textId="77777777">
        <w:tc>
          <w:tcPr>
            <w:tcW w:w="720" w:type="dxa"/>
            <w:noWrap/>
            <w:tcMar>
              <w:right w:w="80" w:type="dxa"/>
            </w:tcMar>
          </w:tcPr>
          <w:p w14:paraId="2D12774C" w14:textId="77777777" w:rsidR="00061875" w:rsidRDefault="00230B88">
            <w:pPr>
              <w:rPr>
                <w:sz w:val="22"/>
              </w:rPr>
            </w:pPr>
            <w:r>
              <w:rPr>
                <w:sz w:val="22"/>
              </w:rPr>
              <w:t>(37)</w:t>
            </w:r>
          </w:p>
        </w:tc>
        <w:tc>
          <w:tcPr>
            <w:tcW w:w="0" w:type="auto"/>
            <w:tcMar>
              <w:right w:w="80" w:type="dxa"/>
            </w:tcMar>
          </w:tcPr>
          <w:p w14:paraId="38777587" w14:textId="77777777" w:rsidR="00061875" w:rsidRDefault="00230B88">
            <w:pPr>
              <w:rPr>
                <w:sz w:val="22"/>
              </w:rPr>
            </w:pPr>
            <w:r>
              <w:rPr>
                <w:sz w:val="22"/>
              </w:rPr>
              <w:t>Ledelsen i aksjeselskap som kommer i økonomiske vanskeligheter settes lett under et krysspress: Hensynet til kreditorene kan tilsi at ledelsen kaster kortene for å avverge ytterligere tap. For aksjeeierne, ansatte, samarbeidspartnere, lokalsamfunnet og samfunnsøkonomien, vil det imidlertid kunne være om å gjøre at ledelsen kan fortsette å arbeide for å få bedriften over kneiken og sikre fortsatt drift. Løser det seg, vil dette også komme kreditorfellesskapet til gode.</w:t>
            </w:r>
          </w:p>
        </w:tc>
      </w:tr>
    </w:tbl>
    <w:p w14:paraId="2FA1E46F" w14:textId="77777777" w:rsidR="00061875" w:rsidRDefault="00061875">
      <w:pPr>
        <w:rPr>
          <w:sz w:val="6"/>
        </w:rPr>
      </w:pPr>
    </w:p>
    <w:p w14:paraId="70C535F0"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38F0F574" w14:textId="77777777">
        <w:tc>
          <w:tcPr>
            <w:tcW w:w="720" w:type="dxa"/>
            <w:noWrap/>
            <w:tcMar>
              <w:right w:w="80" w:type="dxa"/>
            </w:tcMar>
          </w:tcPr>
          <w:p w14:paraId="58B31A31" w14:textId="77777777" w:rsidR="00061875" w:rsidRDefault="00230B88">
            <w:pPr>
              <w:rPr>
                <w:sz w:val="22"/>
              </w:rPr>
            </w:pPr>
            <w:r>
              <w:rPr>
                <w:sz w:val="22"/>
              </w:rPr>
              <w:t>(38)</w:t>
            </w:r>
          </w:p>
        </w:tc>
        <w:tc>
          <w:tcPr>
            <w:tcW w:w="0" w:type="auto"/>
            <w:tcMar>
              <w:right w:w="80" w:type="dxa"/>
            </w:tcMar>
          </w:tcPr>
          <w:p w14:paraId="6A00BA1E" w14:textId="77777777" w:rsidR="00061875" w:rsidRDefault="00230B88">
            <w:pPr>
              <w:rPr>
                <w:sz w:val="22"/>
              </w:rPr>
            </w:pPr>
            <w:r>
              <w:rPr>
                <w:sz w:val="22"/>
              </w:rPr>
              <w:t xml:space="preserve">De kryssende interessene her tilsier at det ikke gjelder et én-til-én-forhold mellom selskapets kontraktsrettslige informasjonsplikt og ledelsens personlige ansvar overfor den kreditoren som måtte lide et tap som </w:t>
            </w:r>
            <w:r>
              <w:rPr>
                <w:sz w:val="22"/>
              </w:rPr>
              <w:t>følge av at selskapets informasjonsplikt ikke er etterlevd. Kravene til forsvarlig handlemåte må avstemmes mot den vanskelige situasjonen som ledelsen befinner seg i når det drar seg til økonomisk for selskapet, og til at ledelsen forventes å foreta balanserte avveininger og valg.</w:t>
            </w:r>
          </w:p>
        </w:tc>
      </w:tr>
    </w:tbl>
    <w:p w14:paraId="0F0533D7" w14:textId="77777777" w:rsidR="00061875" w:rsidRDefault="00061875">
      <w:pPr>
        <w:rPr>
          <w:sz w:val="6"/>
        </w:rPr>
      </w:pPr>
    </w:p>
    <w:p w14:paraId="55A28AA2"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7B5D7198" w14:textId="77777777">
        <w:tc>
          <w:tcPr>
            <w:tcW w:w="720" w:type="dxa"/>
            <w:noWrap/>
            <w:tcMar>
              <w:right w:w="80" w:type="dxa"/>
            </w:tcMar>
          </w:tcPr>
          <w:p w14:paraId="57AD4649" w14:textId="77777777" w:rsidR="00061875" w:rsidRDefault="00230B88">
            <w:pPr>
              <w:rPr>
                <w:sz w:val="22"/>
              </w:rPr>
            </w:pPr>
            <w:r>
              <w:rPr>
                <w:sz w:val="22"/>
              </w:rPr>
              <w:t>(39)</w:t>
            </w:r>
          </w:p>
        </w:tc>
        <w:tc>
          <w:tcPr>
            <w:tcW w:w="0" w:type="auto"/>
            <w:tcMar>
              <w:right w:w="80" w:type="dxa"/>
            </w:tcMar>
          </w:tcPr>
          <w:p w14:paraId="2D6E4BC4" w14:textId="77777777" w:rsidR="00061875" w:rsidRDefault="00230B88">
            <w:pPr>
              <w:rPr>
                <w:sz w:val="22"/>
              </w:rPr>
            </w:pPr>
            <w:r>
              <w:rPr>
                <w:sz w:val="22"/>
              </w:rPr>
              <w:t xml:space="preserve">Det jeg her har trukket frem har betydning på tre plan, som alt i alt medfører at det personlige ansvaret for ledelsen etter </w:t>
            </w:r>
            <w:hyperlink r:id="rId24" w:anchor="reference/lov/1997-06-13-44/§17-1" w:history="1">
              <w:r>
                <w:rPr>
                  <w:sz w:val="22"/>
                </w:rPr>
                <w:t>aksjeloven § 17-1</w:t>
              </w:r>
            </w:hyperlink>
            <w:r>
              <w:rPr>
                <w:sz w:val="22"/>
              </w:rPr>
              <w:t xml:space="preserve"> for kreditortap som følge av unnlatt varsling, ikke nødvendigvis rekker like langt som den kontraktsrettslige varslingsplikten for selskapet. Jeg har hele tiden de løpende kontraktsforholdene i tanken.</w:t>
            </w:r>
          </w:p>
        </w:tc>
      </w:tr>
    </w:tbl>
    <w:p w14:paraId="4ADBDACA" w14:textId="77777777" w:rsidR="00061875" w:rsidRDefault="00061875">
      <w:pPr>
        <w:rPr>
          <w:sz w:val="6"/>
        </w:rPr>
      </w:pPr>
    </w:p>
    <w:p w14:paraId="6F6559E9"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473170FA" w14:textId="77777777">
        <w:tc>
          <w:tcPr>
            <w:tcW w:w="720" w:type="dxa"/>
            <w:noWrap/>
            <w:tcMar>
              <w:right w:w="80" w:type="dxa"/>
            </w:tcMar>
          </w:tcPr>
          <w:p w14:paraId="1E373A61" w14:textId="77777777" w:rsidR="00061875" w:rsidRDefault="00230B88">
            <w:pPr>
              <w:rPr>
                <w:sz w:val="22"/>
              </w:rPr>
            </w:pPr>
            <w:r>
              <w:rPr>
                <w:sz w:val="22"/>
              </w:rPr>
              <w:t>(40)</w:t>
            </w:r>
          </w:p>
        </w:tc>
        <w:tc>
          <w:tcPr>
            <w:tcW w:w="0" w:type="auto"/>
            <w:tcMar>
              <w:right w:w="80" w:type="dxa"/>
            </w:tcMar>
          </w:tcPr>
          <w:p w14:paraId="47C76318" w14:textId="77777777" w:rsidR="00061875" w:rsidRDefault="00230B88">
            <w:pPr>
              <w:rPr>
                <w:sz w:val="22"/>
              </w:rPr>
            </w:pPr>
            <w:r>
              <w:rPr>
                <w:sz w:val="22"/>
              </w:rPr>
              <w:t>For det første bør aktsomhetsnormen gi ledelsen et visst strategisk arbeidsrom utover det den kontraktsrettslige lojalitetsplikten isolert betraktet kan tilsi, også til å arbeide for å redde virksomheten «i det stille».</w:t>
            </w:r>
          </w:p>
        </w:tc>
      </w:tr>
    </w:tbl>
    <w:p w14:paraId="4EC7F7D1" w14:textId="77777777" w:rsidR="00061875" w:rsidRDefault="00061875">
      <w:pPr>
        <w:rPr>
          <w:sz w:val="6"/>
        </w:rPr>
      </w:pPr>
    </w:p>
    <w:p w14:paraId="687AF453"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1D5D9222" w14:textId="77777777">
        <w:tc>
          <w:tcPr>
            <w:tcW w:w="720" w:type="dxa"/>
            <w:noWrap/>
            <w:tcMar>
              <w:right w:w="80" w:type="dxa"/>
            </w:tcMar>
          </w:tcPr>
          <w:p w14:paraId="4FFC0777" w14:textId="77777777" w:rsidR="00061875" w:rsidRDefault="00230B88">
            <w:pPr>
              <w:rPr>
                <w:sz w:val="22"/>
              </w:rPr>
            </w:pPr>
            <w:r>
              <w:rPr>
                <w:sz w:val="22"/>
              </w:rPr>
              <w:t>(41)</w:t>
            </w:r>
          </w:p>
        </w:tc>
        <w:tc>
          <w:tcPr>
            <w:tcW w:w="0" w:type="auto"/>
            <w:tcMar>
              <w:right w:w="80" w:type="dxa"/>
            </w:tcMar>
          </w:tcPr>
          <w:p w14:paraId="12B74EFA" w14:textId="77777777" w:rsidR="00061875" w:rsidRDefault="00230B88">
            <w:pPr>
              <w:rPr>
                <w:sz w:val="22"/>
              </w:rPr>
            </w:pPr>
            <w:r>
              <w:rPr>
                <w:sz w:val="22"/>
              </w:rPr>
              <w:t xml:space="preserve">For det andre bør </w:t>
            </w:r>
            <w:hyperlink r:id="rId25" w:anchor="reference/lov/1997-06-13-44/§17-1" w:history="1">
              <w:r>
                <w:rPr>
                  <w:sz w:val="22"/>
                </w:rPr>
                <w:t>aksjeloven § 17-1</w:t>
              </w:r>
            </w:hyperlink>
            <w:r>
              <w:rPr>
                <w:sz w:val="22"/>
              </w:rPr>
              <w:t xml:space="preserve"> her praktiseres på en måte som gir selskapsledelsen en rimelig grad av forutsigbarhet. Insolvens er et innarbeidet og nokså avklart kriterium, og det er også ellers egnet som utgangspunkt for varslingsplikten. Aktsomhetsnormen for så vidt gjelder det tapet som en kreditor måtte lide fordi han ikke blir varslet om sviktende økonomi i selskapet, bør altså kunne presiseres slik at det ikke – iallfall ikke under ordinære forhold – vil være aktuelt med personlig ansvar så lenge ledelsen på et forsvarlig avklart</w:t>
            </w:r>
            <w:r>
              <w:rPr>
                <w:sz w:val="22"/>
              </w:rPr>
              <w:t xml:space="preserve"> grunnlag bygget på at selskapet var solvent.</w:t>
            </w:r>
          </w:p>
        </w:tc>
      </w:tr>
    </w:tbl>
    <w:p w14:paraId="29BBD681" w14:textId="77777777" w:rsidR="00061875" w:rsidRDefault="00061875">
      <w:pPr>
        <w:rPr>
          <w:sz w:val="6"/>
        </w:rPr>
      </w:pPr>
    </w:p>
    <w:p w14:paraId="2620D687"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05DDBF1A" w14:textId="77777777">
        <w:tc>
          <w:tcPr>
            <w:tcW w:w="720" w:type="dxa"/>
            <w:noWrap/>
            <w:tcMar>
              <w:right w:w="80" w:type="dxa"/>
            </w:tcMar>
          </w:tcPr>
          <w:p w14:paraId="54D2AD58" w14:textId="77777777" w:rsidR="00061875" w:rsidRDefault="00230B88">
            <w:pPr>
              <w:rPr>
                <w:sz w:val="22"/>
              </w:rPr>
            </w:pPr>
            <w:r>
              <w:rPr>
                <w:sz w:val="22"/>
              </w:rPr>
              <w:t>(42)</w:t>
            </w:r>
          </w:p>
        </w:tc>
        <w:tc>
          <w:tcPr>
            <w:tcW w:w="0" w:type="auto"/>
            <w:tcMar>
              <w:right w:w="80" w:type="dxa"/>
            </w:tcMar>
          </w:tcPr>
          <w:p w14:paraId="3150DA91" w14:textId="77777777" w:rsidR="00061875" w:rsidRDefault="00230B88">
            <w:pPr>
              <w:rPr>
                <w:sz w:val="22"/>
              </w:rPr>
            </w:pPr>
            <w:r>
              <w:rPr>
                <w:sz w:val="22"/>
              </w:rPr>
              <w:t xml:space="preserve">For det tredje tilsier hensynet til sammenheng med den etablerte aktsomhetsnormen under </w:t>
            </w:r>
            <w:hyperlink r:id="rId26" w:anchor="reference/lov/1997-06-13-44/§17-1" w:history="1">
              <w:r>
                <w:rPr>
                  <w:sz w:val="22"/>
                </w:rPr>
                <w:t>§ 17-1</w:t>
              </w:r>
            </w:hyperlink>
            <w:r>
              <w:rPr>
                <w:sz w:val="22"/>
              </w:rPr>
              <w:t xml:space="preserve"> for så vidt gjelder styrets plikt til å begjære oppbud, at personlig ansvar for ikke å ha varslet kreditorene om økonomisk svikt ikke bør inntre selv om selskapet nok var insolvent, dersom det likevel var et realistisk håp om å kunne redde selskapet fra konkurs, selskapets ledelse arbeidet aktivt og lojalt med dette for øyet og kastet kortene innen rimelig tid. Jeg viser til </w:t>
            </w:r>
            <w:r>
              <w:rPr>
                <w:i/>
                <w:sz w:val="22"/>
              </w:rPr>
              <w:t>Normann</w:t>
            </w:r>
            <w:r>
              <w:rPr>
                <w:sz w:val="22"/>
              </w:rPr>
              <w:t>, Styremedlemmers erstatningsansvar i aksjeselskaper, 1994 side 502 og side 524.</w:t>
            </w:r>
          </w:p>
        </w:tc>
      </w:tr>
    </w:tbl>
    <w:p w14:paraId="26F8F46E" w14:textId="77777777" w:rsidR="00061875" w:rsidRDefault="00061875">
      <w:pPr>
        <w:rPr>
          <w:sz w:val="6"/>
        </w:rPr>
      </w:pPr>
    </w:p>
    <w:p w14:paraId="37C5EB57"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1BA1CD79" w14:textId="77777777">
        <w:tc>
          <w:tcPr>
            <w:tcW w:w="720" w:type="dxa"/>
            <w:noWrap/>
            <w:tcMar>
              <w:right w:w="80" w:type="dxa"/>
            </w:tcMar>
          </w:tcPr>
          <w:p w14:paraId="3EE2381B" w14:textId="77777777" w:rsidR="00061875" w:rsidRDefault="00230B88">
            <w:pPr>
              <w:rPr>
                <w:sz w:val="22"/>
              </w:rPr>
            </w:pPr>
            <w:r>
              <w:rPr>
                <w:sz w:val="22"/>
              </w:rPr>
              <w:t>(43)</w:t>
            </w:r>
          </w:p>
        </w:tc>
        <w:tc>
          <w:tcPr>
            <w:tcW w:w="0" w:type="auto"/>
            <w:tcMar>
              <w:right w:w="80" w:type="dxa"/>
            </w:tcMar>
          </w:tcPr>
          <w:p w14:paraId="078F32F0" w14:textId="77777777" w:rsidR="00061875" w:rsidRDefault="00230B88">
            <w:pPr>
              <w:rPr>
                <w:sz w:val="22"/>
              </w:rPr>
            </w:pPr>
            <w:r>
              <w:rPr>
                <w:sz w:val="22"/>
              </w:rPr>
              <w:t>De forholdene som jeg her har trukket frem, kommer imidlertid ikke på spissen i As tilfelle. Det helt sentrale for utfallet i saken her er at A rett og slett ikke visste at [Firma1] var insolvent. Det var ikke snakk om noen redningsaksjon – da de økonomiske realitetene kom for dagen i slutten av oktober 2011, reagerte styret umiddelbart med begjæring om oppbud. Forklaringen på at A og den øvrige ledelsen var uvitende om at [Firma1] var insolvent i august 2011 lå – som jeg allerede har vært inne på – først o</w:t>
            </w:r>
            <w:r>
              <w:rPr>
                <w:sz w:val="22"/>
              </w:rPr>
              <w:t>g fremst i at [Firma1]s regnskaps- og rapporteringsrutiner var svært mangelfulle, spesielt knyttet til prosjektregnskapene og integreringen av disse med [Firma1]s øvrige regnskap.</w:t>
            </w:r>
          </w:p>
        </w:tc>
      </w:tr>
    </w:tbl>
    <w:p w14:paraId="29545BD9" w14:textId="77777777" w:rsidR="00061875" w:rsidRDefault="00061875">
      <w:pPr>
        <w:rPr>
          <w:sz w:val="6"/>
        </w:rPr>
      </w:pPr>
    </w:p>
    <w:p w14:paraId="245452D9"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598D975E" w14:textId="77777777">
        <w:tc>
          <w:tcPr>
            <w:tcW w:w="720" w:type="dxa"/>
            <w:noWrap/>
            <w:tcMar>
              <w:right w:w="80" w:type="dxa"/>
            </w:tcMar>
          </w:tcPr>
          <w:p w14:paraId="51FB1F74" w14:textId="77777777" w:rsidR="00061875" w:rsidRDefault="00230B88">
            <w:pPr>
              <w:rPr>
                <w:sz w:val="22"/>
              </w:rPr>
            </w:pPr>
            <w:r>
              <w:rPr>
                <w:sz w:val="22"/>
              </w:rPr>
              <w:t>(44)</w:t>
            </w:r>
          </w:p>
        </w:tc>
        <w:tc>
          <w:tcPr>
            <w:tcW w:w="0" w:type="auto"/>
            <w:tcMar>
              <w:right w:w="80" w:type="dxa"/>
            </w:tcMar>
          </w:tcPr>
          <w:p w14:paraId="29F29011" w14:textId="77777777" w:rsidR="00061875" w:rsidRDefault="00230B88">
            <w:pPr>
              <w:rPr>
                <w:sz w:val="22"/>
              </w:rPr>
            </w:pPr>
            <w:r>
              <w:rPr>
                <w:sz w:val="22"/>
              </w:rPr>
              <w:t xml:space="preserve">Det følger av </w:t>
            </w:r>
            <w:hyperlink r:id="rId27" w:anchor="reference/lov/1997-06-13-44/§6-14" w:history="1">
              <w:r>
                <w:rPr>
                  <w:sz w:val="22"/>
                </w:rPr>
                <w:t>aksjeloven § 6-14</w:t>
              </w:r>
            </w:hyperlink>
            <w:r>
              <w:rPr>
                <w:sz w:val="22"/>
              </w:rPr>
              <w:t xml:space="preserve"> at daglig leder «skal sørge for at selskapets regnskap er i samsvar med lov og forskrifter, og at formuesforvaltningen er ordnet på en betryggende måte». Dette var ikke situasjonen i [Firma1] gjennom 2011. As forsømmelser av sine plikter som daglig leder i så måte, satte i neste omgang ham og den øvrige ledelsen ut av stand til å forvalte selskapets interesser på en forsvarlig måte, og gjorde det i realiteten umulig for dem å ivareta hensynet til selskapets kreditorer i forbindelse med [Firma1]s insolvens.</w:t>
            </w:r>
            <w:r>
              <w:rPr>
                <w:sz w:val="22"/>
              </w:rPr>
              <w:t xml:space="preserve"> Jeg finner det riktig at As forsømmelser møtes med personlig ansvar etter </w:t>
            </w:r>
            <w:hyperlink r:id="rId28" w:anchor="reference/lov/1997-06-13-44/§17-1" w:history="1">
              <w:r>
                <w:rPr>
                  <w:sz w:val="22"/>
                </w:rPr>
                <w:t>aksjeloven § 17-1</w:t>
              </w:r>
            </w:hyperlink>
            <w:r>
              <w:rPr>
                <w:sz w:val="22"/>
              </w:rPr>
              <w:t>.</w:t>
            </w:r>
          </w:p>
        </w:tc>
      </w:tr>
    </w:tbl>
    <w:p w14:paraId="27F4DE05" w14:textId="77777777" w:rsidR="00061875" w:rsidRDefault="00061875">
      <w:pPr>
        <w:rPr>
          <w:sz w:val="6"/>
        </w:rPr>
      </w:pPr>
    </w:p>
    <w:p w14:paraId="77F63CBB"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669261D8" w14:textId="77777777">
        <w:tc>
          <w:tcPr>
            <w:tcW w:w="720" w:type="dxa"/>
            <w:noWrap/>
            <w:tcMar>
              <w:right w:w="80" w:type="dxa"/>
            </w:tcMar>
          </w:tcPr>
          <w:p w14:paraId="3C84C6BF" w14:textId="77777777" w:rsidR="00061875" w:rsidRDefault="00230B88">
            <w:pPr>
              <w:rPr>
                <w:sz w:val="22"/>
              </w:rPr>
            </w:pPr>
            <w:r>
              <w:rPr>
                <w:sz w:val="22"/>
              </w:rPr>
              <w:t>(45)</w:t>
            </w:r>
          </w:p>
        </w:tc>
        <w:tc>
          <w:tcPr>
            <w:tcW w:w="0" w:type="auto"/>
            <w:tcMar>
              <w:right w:w="80" w:type="dxa"/>
            </w:tcMar>
          </w:tcPr>
          <w:p w14:paraId="4CC96E1E" w14:textId="77777777" w:rsidR="00061875" w:rsidRDefault="00230B88">
            <w:pPr>
              <w:rPr>
                <w:sz w:val="22"/>
              </w:rPr>
            </w:pPr>
            <w:r>
              <w:rPr>
                <w:sz w:val="22"/>
              </w:rPr>
              <w:t>Anken må etter dette forkastes.</w:t>
            </w:r>
          </w:p>
        </w:tc>
      </w:tr>
    </w:tbl>
    <w:p w14:paraId="18C0795B" w14:textId="77777777" w:rsidR="00061875" w:rsidRDefault="00061875">
      <w:pPr>
        <w:rPr>
          <w:sz w:val="6"/>
        </w:rPr>
      </w:pPr>
    </w:p>
    <w:p w14:paraId="2AFC6264"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63F44B1E" w14:textId="77777777">
        <w:tc>
          <w:tcPr>
            <w:tcW w:w="720" w:type="dxa"/>
            <w:noWrap/>
            <w:tcMar>
              <w:right w:w="80" w:type="dxa"/>
            </w:tcMar>
          </w:tcPr>
          <w:p w14:paraId="2F575100" w14:textId="77777777" w:rsidR="00061875" w:rsidRDefault="00230B88">
            <w:pPr>
              <w:rPr>
                <w:sz w:val="22"/>
              </w:rPr>
            </w:pPr>
            <w:r>
              <w:rPr>
                <w:sz w:val="22"/>
              </w:rPr>
              <w:t>(46)</w:t>
            </w:r>
          </w:p>
        </w:tc>
        <w:tc>
          <w:tcPr>
            <w:tcW w:w="0" w:type="auto"/>
            <w:tcMar>
              <w:right w:w="80" w:type="dxa"/>
            </w:tcMar>
          </w:tcPr>
          <w:p w14:paraId="43CB2918" w14:textId="77777777" w:rsidR="00061875" w:rsidRDefault="00230B88">
            <w:pPr>
              <w:rPr>
                <w:sz w:val="22"/>
              </w:rPr>
            </w:pPr>
            <w:r>
              <w:rPr>
                <w:sz w:val="22"/>
              </w:rPr>
              <w:t xml:space="preserve">Saken har reist uavklarte rettsspørsmål og har budt på tvil. Jeg er derfor blitt stående ved at sakskostnader ikke bør </w:t>
            </w:r>
            <w:r>
              <w:rPr>
                <w:sz w:val="22"/>
              </w:rPr>
              <w:t>tilkjennes for noen instans.</w:t>
            </w:r>
          </w:p>
        </w:tc>
      </w:tr>
    </w:tbl>
    <w:p w14:paraId="2DF2B017" w14:textId="77777777" w:rsidR="00061875" w:rsidRDefault="00061875">
      <w:pPr>
        <w:rPr>
          <w:sz w:val="6"/>
        </w:rPr>
      </w:pPr>
    </w:p>
    <w:p w14:paraId="525A354D"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061875" w14:paraId="614F7BB1" w14:textId="77777777">
        <w:tc>
          <w:tcPr>
            <w:tcW w:w="720" w:type="dxa"/>
            <w:noWrap/>
            <w:tcMar>
              <w:right w:w="80" w:type="dxa"/>
            </w:tcMar>
          </w:tcPr>
          <w:p w14:paraId="69BBA7BB" w14:textId="77777777" w:rsidR="00061875" w:rsidRDefault="00230B88">
            <w:pPr>
              <w:rPr>
                <w:sz w:val="22"/>
              </w:rPr>
            </w:pPr>
            <w:r>
              <w:rPr>
                <w:sz w:val="22"/>
              </w:rPr>
              <w:t>(47)</w:t>
            </w:r>
          </w:p>
        </w:tc>
        <w:tc>
          <w:tcPr>
            <w:tcW w:w="0" w:type="auto"/>
            <w:tcMar>
              <w:right w:w="80" w:type="dxa"/>
            </w:tcMar>
          </w:tcPr>
          <w:p w14:paraId="5F1EAC30" w14:textId="77777777" w:rsidR="00061875" w:rsidRDefault="00230B88">
            <w:pPr>
              <w:rPr>
                <w:sz w:val="6"/>
              </w:rPr>
            </w:pPr>
            <w:r>
              <w:rPr>
                <w:sz w:val="22"/>
              </w:rPr>
              <w:t>Jeg stemmer for denne</w:t>
            </w:r>
          </w:p>
          <w:p w14:paraId="36C0A5EC" w14:textId="77777777" w:rsidR="00061875" w:rsidRDefault="00230B88">
            <w:pPr>
              <w:spacing w:before="120"/>
              <w:ind w:left="360" w:firstLine="180"/>
              <w:jc w:val="center"/>
              <w:rPr>
                <w:sz w:val="6"/>
              </w:rPr>
            </w:pPr>
            <w:r>
              <w:rPr>
                <w:sz w:val="22"/>
              </w:rPr>
              <w:t>dom:</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061875" w14:paraId="6A107AEB" w14:textId="77777777">
              <w:tc>
                <w:tcPr>
                  <w:tcW w:w="720" w:type="dxa"/>
                  <w:noWrap/>
                  <w:tcMar>
                    <w:right w:w="80" w:type="dxa"/>
                  </w:tcMar>
                </w:tcPr>
                <w:p w14:paraId="17AA2B93" w14:textId="77777777" w:rsidR="00061875" w:rsidRDefault="00230B88">
                  <w:pPr>
                    <w:jc w:val="right"/>
                    <w:rPr>
                      <w:sz w:val="22"/>
                    </w:rPr>
                  </w:pPr>
                  <w:r>
                    <w:rPr>
                      <w:sz w:val="22"/>
                    </w:rPr>
                    <w:t>1.</w:t>
                  </w:r>
                </w:p>
              </w:tc>
              <w:tc>
                <w:tcPr>
                  <w:tcW w:w="8786" w:type="dxa"/>
                  <w:noWrap/>
                  <w:tcMar>
                    <w:right w:w="80" w:type="dxa"/>
                  </w:tcMar>
                </w:tcPr>
                <w:p w14:paraId="76565BE6" w14:textId="77777777" w:rsidR="00061875" w:rsidRDefault="00230B88">
                  <w:pPr>
                    <w:rPr>
                      <w:sz w:val="22"/>
                    </w:rPr>
                  </w:pPr>
                  <w:r>
                    <w:rPr>
                      <w:sz w:val="22"/>
                    </w:rPr>
                    <w:t>Anken forkastes.</w:t>
                  </w:r>
                </w:p>
              </w:tc>
            </w:tr>
          </w:tbl>
          <w:p w14:paraId="154866A9" w14:textId="77777777" w:rsidR="00061875" w:rsidRDefault="00061875">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061875" w14:paraId="3351C4FC" w14:textId="77777777">
              <w:tc>
                <w:tcPr>
                  <w:tcW w:w="720" w:type="dxa"/>
                  <w:noWrap/>
                  <w:tcMar>
                    <w:right w:w="80" w:type="dxa"/>
                  </w:tcMar>
                </w:tcPr>
                <w:p w14:paraId="15971A58" w14:textId="77777777" w:rsidR="00061875" w:rsidRDefault="00230B88">
                  <w:pPr>
                    <w:jc w:val="right"/>
                    <w:rPr>
                      <w:sz w:val="22"/>
                    </w:rPr>
                  </w:pPr>
                  <w:r>
                    <w:rPr>
                      <w:sz w:val="22"/>
                    </w:rPr>
                    <w:t>2.</w:t>
                  </w:r>
                </w:p>
              </w:tc>
              <w:tc>
                <w:tcPr>
                  <w:tcW w:w="8786" w:type="dxa"/>
                  <w:noWrap/>
                  <w:tcMar>
                    <w:right w:w="80" w:type="dxa"/>
                  </w:tcMar>
                </w:tcPr>
                <w:p w14:paraId="60DA573E" w14:textId="77777777" w:rsidR="00061875" w:rsidRDefault="00230B88">
                  <w:pPr>
                    <w:rPr>
                      <w:sz w:val="22"/>
                    </w:rPr>
                  </w:pPr>
                  <w:r>
                    <w:rPr>
                      <w:sz w:val="22"/>
                    </w:rPr>
                    <w:t>Sakskostnader tilkjennes ikke for noen instans.</w:t>
                  </w:r>
                </w:p>
              </w:tc>
            </w:tr>
          </w:tbl>
          <w:p w14:paraId="62FEBAC1" w14:textId="77777777" w:rsidR="00061875" w:rsidRDefault="00061875">
            <w:pPr>
              <w:rPr>
                <w:sz w:val="22"/>
              </w:rPr>
            </w:pPr>
          </w:p>
        </w:tc>
      </w:tr>
    </w:tbl>
    <w:p w14:paraId="41491FA0" w14:textId="77777777" w:rsidR="00061875" w:rsidRDefault="00061875">
      <w:pPr>
        <w:rPr>
          <w:sz w:val="6"/>
        </w:rPr>
      </w:pPr>
    </w:p>
    <w:p w14:paraId="2D4F0D4D"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5ACA3C44" w14:textId="77777777">
        <w:tc>
          <w:tcPr>
            <w:tcW w:w="720" w:type="dxa"/>
            <w:noWrap/>
            <w:tcMar>
              <w:right w:w="80" w:type="dxa"/>
            </w:tcMar>
          </w:tcPr>
          <w:p w14:paraId="4CBE0416" w14:textId="77777777" w:rsidR="00061875" w:rsidRDefault="00230B88">
            <w:pPr>
              <w:rPr>
                <w:sz w:val="22"/>
              </w:rPr>
            </w:pPr>
            <w:r>
              <w:rPr>
                <w:sz w:val="22"/>
              </w:rPr>
              <w:t>(48)</w:t>
            </w:r>
          </w:p>
        </w:tc>
        <w:tc>
          <w:tcPr>
            <w:tcW w:w="0" w:type="auto"/>
            <w:tcMar>
              <w:right w:w="80" w:type="dxa"/>
            </w:tcMar>
          </w:tcPr>
          <w:p w14:paraId="30AF93EA" w14:textId="77777777" w:rsidR="00061875" w:rsidRDefault="00230B88">
            <w:pPr>
              <w:rPr>
                <w:sz w:val="22"/>
              </w:rPr>
            </w:pPr>
            <w:proofErr w:type="spellStart"/>
            <w:r>
              <w:rPr>
                <w:sz w:val="22"/>
              </w:rPr>
              <w:t>Dommar</w:t>
            </w:r>
            <w:proofErr w:type="spellEnd"/>
            <w:r>
              <w:rPr>
                <w:sz w:val="22"/>
              </w:rPr>
              <w:t xml:space="preserve"> </w:t>
            </w:r>
            <w:r>
              <w:rPr>
                <w:b/>
                <w:sz w:val="22"/>
              </w:rPr>
              <w:t>Høgetveit Berg:</w:t>
            </w:r>
            <w:r>
              <w:rPr>
                <w:sz w:val="22"/>
              </w:rPr>
              <w:t xml:space="preserve"> </w:t>
            </w:r>
            <w:proofErr w:type="spellStart"/>
            <w:r>
              <w:rPr>
                <w:sz w:val="22"/>
              </w:rPr>
              <w:t>Eg</w:t>
            </w:r>
            <w:proofErr w:type="spellEnd"/>
            <w:r>
              <w:rPr>
                <w:sz w:val="22"/>
              </w:rPr>
              <w:t xml:space="preserve"> er i det </w:t>
            </w:r>
            <w:proofErr w:type="spellStart"/>
            <w:r>
              <w:rPr>
                <w:sz w:val="22"/>
              </w:rPr>
              <w:t>hovudsaklege</w:t>
            </w:r>
            <w:proofErr w:type="spellEnd"/>
            <w:r>
              <w:rPr>
                <w:sz w:val="22"/>
              </w:rPr>
              <w:t xml:space="preserve"> og i resultatet </w:t>
            </w:r>
            <w:proofErr w:type="spellStart"/>
            <w:r>
              <w:rPr>
                <w:sz w:val="22"/>
              </w:rPr>
              <w:t>einig</w:t>
            </w:r>
            <w:proofErr w:type="spellEnd"/>
            <w:r>
              <w:rPr>
                <w:sz w:val="22"/>
              </w:rPr>
              <w:t xml:space="preserve"> med </w:t>
            </w:r>
            <w:proofErr w:type="spellStart"/>
            <w:r>
              <w:rPr>
                <w:sz w:val="22"/>
              </w:rPr>
              <w:t>førstvoterande</w:t>
            </w:r>
            <w:proofErr w:type="spellEnd"/>
            <w:r>
              <w:rPr>
                <w:sz w:val="22"/>
              </w:rPr>
              <w:t>.</w:t>
            </w:r>
          </w:p>
        </w:tc>
      </w:tr>
    </w:tbl>
    <w:p w14:paraId="1B76E8C1" w14:textId="77777777" w:rsidR="00061875" w:rsidRDefault="00061875">
      <w:pPr>
        <w:rPr>
          <w:sz w:val="6"/>
        </w:rPr>
      </w:pPr>
    </w:p>
    <w:p w14:paraId="3BCBE4BE"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4637D1D8" w14:textId="77777777">
        <w:tc>
          <w:tcPr>
            <w:tcW w:w="720" w:type="dxa"/>
            <w:noWrap/>
            <w:tcMar>
              <w:right w:w="80" w:type="dxa"/>
            </w:tcMar>
          </w:tcPr>
          <w:p w14:paraId="18132272" w14:textId="77777777" w:rsidR="00061875" w:rsidRDefault="00230B88">
            <w:pPr>
              <w:rPr>
                <w:sz w:val="22"/>
              </w:rPr>
            </w:pPr>
            <w:r>
              <w:rPr>
                <w:sz w:val="22"/>
              </w:rPr>
              <w:t>(49)</w:t>
            </w:r>
          </w:p>
        </w:tc>
        <w:tc>
          <w:tcPr>
            <w:tcW w:w="0" w:type="auto"/>
            <w:tcMar>
              <w:right w:w="80" w:type="dxa"/>
            </w:tcMar>
          </w:tcPr>
          <w:p w14:paraId="311D2597" w14:textId="77777777" w:rsidR="00061875" w:rsidRDefault="00230B88">
            <w:pPr>
              <w:rPr>
                <w:sz w:val="22"/>
              </w:rPr>
            </w:pPr>
            <w:r>
              <w:rPr>
                <w:sz w:val="22"/>
              </w:rPr>
              <w:t xml:space="preserve">Dommer </w:t>
            </w:r>
            <w:r>
              <w:rPr>
                <w:b/>
                <w:sz w:val="22"/>
              </w:rPr>
              <w:t>Ringnes:</w:t>
            </w:r>
            <w:r>
              <w:rPr>
                <w:sz w:val="22"/>
              </w:rPr>
              <w:t xml:space="preserve"> Likeså.</w:t>
            </w:r>
          </w:p>
        </w:tc>
      </w:tr>
    </w:tbl>
    <w:p w14:paraId="667A29F4" w14:textId="77777777" w:rsidR="00061875" w:rsidRDefault="00061875">
      <w:pPr>
        <w:rPr>
          <w:sz w:val="6"/>
        </w:rPr>
      </w:pPr>
    </w:p>
    <w:p w14:paraId="77A8515A"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436695F1" w14:textId="77777777">
        <w:tc>
          <w:tcPr>
            <w:tcW w:w="720" w:type="dxa"/>
            <w:noWrap/>
            <w:tcMar>
              <w:right w:w="80" w:type="dxa"/>
            </w:tcMar>
          </w:tcPr>
          <w:p w14:paraId="0F45D020" w14:textId="77777777" w:rsidR="00061875" w:rsidRDefault="00230B88">
            <w:pPr>
              <w:rPr>
                <w:sz w:val="22"/>
              </w:rPr>
            </w:pPr>
            <w:r>
              <w:rPr>
                <w:sz w:val="22"/>
              </w:rPr>
              <w:t>(50)</w:t>
            </w:r>
          </w:p>
        </w:tc>
        <w:tc>
          <w:tcPr>
            <w:tcW w:w="0" w:type="auto"/>
            <w:tcMar>
              <w:right w:w="80" w:type="dxa"/>
            </w:tcMar>
          </w:tcPr>
          <w:p w14:paraId="044E1ACB" w14:textId="77777777" w:rsidR="00061875" w:rsidRDefault="00230B88">
            <w:pPr>
              <w:rPr>
                <w:sz w:val="22"/>
              </w:rPr>
            </w:pPr>
            <w:r>
              <w:rPr>
                <w:sz w:val="22"/>
              </w:rPr>
              <w:t xml:space="preserve">Dommer </w:t>
            </w:r>
            <w:r>
              <w:rPr>
                <w:b/>
                <w:sz w:val="22"/>
              </w:rPr>
              <w:t>Indreberg:</w:t>
            </w:r>
            <w:r>
              <w:rPr>
                <w:sz w:val="22"/>
              </w:rPr>
              <w:t xml:space="preserve"> Likeså.</w:t>
            </w:r>
          </w:p>
        </w:tc>
      </w:tr>
    </w:tbl>
    <w:p w14:paraId="5193213B" w14:textId="77777777" w:rsidR="00061875" w:rsidRDefault="00061875">
      <w:pPr>
        <w:rPr>
          <w:sz w:val="6"/>
        </w:rPr>
      </w:pPr>
    </w:p>
    <w:p w14:paraId="146EB6BE"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061875" w14:paraId="14DEBA08" w14:textId="77777777">
        <w:tc>
          <w:tcPr>
            <w:tcW w:w="720" w:type="dxa"/>
            <w:noWrap/>
            <w:tcMar>
              <w:right w:w="80" w:type="dxa"/>
            </w:tcMar>
          </w:tcPr>
          <w:p w14:paraId="7665567C" w14:textId="77777777" w:rsidR="00061875" w:rsidRDefault="00230B88">
            <w:pPr>
              <w:rPr>
                <w:sz w:val="22"/>
              </w:rPr>
            </w:pPr>
            <w:r>
              <w:rPr>
                <w:sz w:val="22"/>
              </w:rPr>
              <w:t>(51)</w:t>
            </w:r>
          </w:p>
        </w:tc>
        <w:tc>
          <w:tcPr>
            <w:tcW w:w="0" w:type="auto"/>
            <w:tcMar>
              <w:right w:w="80" w:type="dxa"/>
            </w:tcMar>
          </w:tcPr>
          <w:p w14:paraId="28B3CD7B" w14:textId="77777777" w:rsidR="00061875" w:rsidRDefault="00230B88">
            <w:pPr>
              <w:rPr>
                <w:sz w:val="22"/>
              </w:rPr>
            </w:pPr>
            <w:r>
              <w:rPr>
                <w:sz w:val="22"/>
              </w:rPr>
              <w:t xml:space="preserve">Dommer </w:t>
            </w:r>
            <w:r>
              <w:rPr>
                <w:b/>
                <w:sz w:val="22"/>
              </w:rPr>
              <w:t>Matningsdal:</w:t>
            </w:r>
            <w:r>
              <w:rPr>
                <w:sz w:val="22"/>
              </w:rPr>
              <w:t xml:space="preserve"> Likeså.</w:t>
            </w:r>
          </w:p>
        </w:tc>
      </w:tr>
    </w:tbl>
    <w:p w14:paraId="3F939049" w14:textId="77777777" w:rsidR="00061875" w:rsidRDefault="00061875">
      <w:pPr>
        <w:rPr>
          <w:sz w:val="6"/>
        </w:rPr>
      </w:pPr>
    </w:p>
    <w:p w14:paraId="1B131005" w14:textId="77777777" w:rsidR="00061875" w:rsidRDefault="00061875">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061875" w14:paraId="68B31D87" w14:textId="77777777">
        <w:tc>
          <w:tcPr>
            <w:tcW w:w="720" w:type="dxa"/>
            <w:noWrap/>
            <w:tcMar>
              <w:right w:w="80" w:type="dxa"/>
            </w:tcMar>
          </w:tcPr>
          <w:p w14:paraId="455A5EF1" w14:textId="77777777" w:rsidR="00061875" w:rsidRDefault="00230B88">
            <w:pPr>
              <w:rPr>
                <w:sz w:val="22"/>
              </w:rPr>
            </w:pPr>
            <w:r>
              <w:rPr>
                <w:sz w:val="22"/>
              </w:rPr>
              <w:t>(52)</w:t>
            </w:r>
          </w:p>
        </w:tc>
        <w:tc>
          <w:tcPr>
            <w:tcW w:w="0" w:type="auto"/>
            <w:tcMar>
              <w:right w:w="80" w:type="dxa"/>
            </w:tcMar>
          </w:tcPr>
          <w:p w14:paraId="36F91633" w14:textId="77777777" w:rsidR="00061875" w:rsidRDefault="00230B88">
            <w:pPr>
              <w:rPr>
                <w:sz w:val="6"/>
              </w:rPr>
            </w:pPr>
            <w:r>
              <w:rPr>
                <w:sz w:val="22"/>
              </w:rPr>
              <w:t>Etter stemmegivningen avsa Høyesterett denne</w:t>
            </w:r>
          </w:p>
          <w:p w14:paraId="0CD5636B" w14:textId="77777777" w:rsidR="00061875" w:rsidRDefault="00230B88">
            <w:pPr>
              <w:spacing w:before="120"/>
              <w:ind w:left="360" w:firstLine="180"/>
              <w:jc w:val="center"/>
              <w:rPr>
                <w:sz w:val="6"/>
              </w:rPr>
            </w:pPr>
            <w:r>
              <w:rPr>
                <w:i/>
                <w:sz w:val="22"/>
              </w:rPr>
              <w:t>dom:</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061875" w14:paraId="7EB7C5E9" w14:textId="77777777">
              <w:tc>
                <w:tcPr>
                  <w:tcW w:w="720" w:type="dxa"/>
                  <w:noWrap/>
                  <w:tcMar>
                    <w:right w:w="80" w:type="dxa"/>
                  </w:tcMar>
                </w:tcPr>
                <w:p w14:paraId="7153BEE2" w14:textId="77777777" w:rsidR="00061875" w:rsidRDefault="00230B88">
                  <w:pPr>
                    <w:jc w:val="right"/>
                    <w:rPr>
                      <w:sz w:val="22"/>
                    </w:rPr>
                  </w:pPr>
                  <w:r>
                    <w:rPr>
                      <w:i/>
                      <w:sz w:val="22"/>
                    </w:rPr>
                    <w:t>1.</w:t>
                  </w:r>
                </w:p>
              </w:tc>
              <w:tc>
                <w:tcPr>
                  <w:tcW w:w="8786" w:type="dxa"/>
                  <w:noWrap/>
                  <w:tcMar>
                    <w:right w:w="80" w:type="dxa"/>
                  </w:tcMar>
                </w:tcPr>
                <w:p w14:paraId="34CEDB17" w14:textId="77777777" w:rsidR="00061875" w:rsidRDefault="00230B88">
                  <w:pPr>
                    <w:rPr>
                      <w:sz w:val="22"/>
                    </w:rPr>
                  </w:pPr>
                  <w:r>
                    <w:rPr>
                      <w:i/>
                      <w:sz w:val="22"/>
                    </w:rPr>
                    <w:t xml:space="preserve">Anken </w:t>
                  </w:r>
                  <w:r>
                    <w:rPr>
                      <w:i/>
                      <w:sz w:val="22"/>
                    </w:rPr>
                    <w:t>forkastes.</w:t>
                  </w:r>
                </w:p>
              </w:tc>
            </w:tr>
          </w:tbl>
          <w:p w14:paraId="6B308390" w14:textId="77777777" w:rsidR="00061875" w:rsidRDefault="00061875">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061875" w14:paraId="3F002760" w14:textId="77777777">
              <w:tc>
                <w:tcPr>
                  <w:tcW w:w="720" w:type="dxa"/>
                  <w:noWrap/>
                  <w:tcMar>
                    <w:right w:w="80" w:type="dxa"/>
                  </w:tcMar>
                </w:tcPr>
                <w:p w14:paraId="3F341855" w14:textId="77777777" w:rsidR="00061875" w:rsidRDefault="00230B88">
                  <w:pPr>
                    <w:jc w:val="right"/>
                    <w:rPr>
                      <w:sz w:val="22"/>
                    </w:rPr>
                  </w:pPr>
                  <w:r>
                    <w:rPr>
                      <w:i/>
                      <w:sz w:val="22"/>
                    </w:rPr>
                    <w:t>2.</w:t>
                  </w:r>
                </w:p>
              </w:tc>
              <w:tc>
                <w:tcPr>
                  <w:tcW w:w="8786" w:type="dxa"/>
                  <w:noWrap/>
                  <w:tcMar>
                    <w:right w:w="80" w:type="dxa"/>
                  </w:tcMar>
                </w:tcPr>
                <w:p w14:paraId="4C9659CF" w14:textId="77777777" w:rsidR="00061875" w:rsidRDefault="00230B88">
                  <w:pPr>
                    <w:rPr>
                      <w:sz w:val="22"/>
                    </w:rPr>
                  </w:pPr>
                  <w:r>
                    <w:rPr>
                      <w:i/>
                      <w:sz w:val="22"/>
                    </w:rPr>
                    <w:t>Sakskostnader tilkjennes ikke for noen instans.</w:t>
                  </w:r>
                </w:p>
              </w:tc>
            </w:tr>
          </w:tbl>
          <w:p w14:paraId="03F36B2A" w14:textId="77777777" w:rsidR="00061875" w:rsidRDefault="00061875">
            <w:pPr>
              <w:rPr>
                <w:sz w:val="22"/>
              </w:rPr>
            </w:pPr>
          </w:p>
          <w:p w14:paraId="2C62E334" w14:textId="77777777" w:rsidR="00061875" w:rsidRDefault="00061875">
            <w:pPr>
              <w:spacing w:before="120"/>
              <w:rPr>
                <w:sz w:val="22"/>
              </w:rPr>
            </w:pPr>
          </w:p>
        </w:tc>
      </w:tr>
      <w:bookmarkEnd w:id="1"/>
    </w:tbl>
    <w:p w14:paraId="3A80A381" w14:textId="77777777" w:rsidR="00061875" w:rsidRDefault="00061875">
      <w:pPr>
        <w:rPr>
          <w:sz w:val="22"/>
        </w:rPr>
      </w:pPr>
    </w:p>
    <w:sectPr w:rsidR="00061875">
      <w:headerReference w:type="default" r:id="rId29"/>
      <w:footerReference w:type="default" r:id="rId30"/>
      <w:pgSz w:w="11906" w:h="16838"/>
      <w:pgMar w:top="1020" w:right="1020" w:bottom="1020" w:left="10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0D3F6" w14:textId="77777777" w:rsidR="00230B88" w:rsidRDefault="00230B88">
      <w:r>
        <w:separator/>
      </w:r>
    </w:p>
  </w:endnote>
  <w:endnote w:type="continuationSeparator" w:id="0">
    <w:p w14:paraId="34A58A9C" w14:textId="77777777" w:rsidR="00230B88" w:rsidRDefault="0023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6B249" w14:textId="77777777" w:rsidR="00061875" w:rsidRDefault="00230B88">
    <w:pPr>
      <w:jc w:val="center"/>
      <w:rPr>
        <w:sz w:val="22"/>
      </w:rPr>
    </w:pPr>
    <w:r>
      <w:rPr>
        <w:sz w:val="22"/>
      </w:rPr>
      <w:t xml:space="preserve"> </w:t>
    </w:r>
  </w:p>
  <w:p w14:paraId="2902896A" w14:textId="77777777" w:rsidR="00061875" w:rsidRDefault="00230B88">
    <w:pPr>
      <w:jc w:val="center"/>
      <w:rPr>
        <w:sz w:val="22"/>
      </w:rPr>
    </w:pPr>
    <w:r>
      <w:rPr>
        <w:sz w:val="22"/>
      </w:rPr>
      <w:t>HR-2017-2375-A</w:t>
    </w:r>
  </w:p>
  <w:p w14:paraId="615E7AC0" w14:textId="77777777" w:rsidR="00061875" w:rsidRDefault="00230B88">
    <w:pPr>
      <w:jc w:val="center"/>
      <w:rPr>
        <w:sz w:val="22"/>
      </w:rPr>
    </w:pPr>
    <w:r>
      <w:rPr>
        <w:sz w:val="22"/>
      </w:rPr>
      <w:t xml:space="preserve">Side </w:t>
    </w:r>
    <w:r>
      <w:rPr>
        <w:sz w:val="22"/>
      </w:rPr>
      <w:fldChar w:fldCharType="begin"/>
    </w:r>
    <w:r>
      <w:rPr>
        <w:sz w:val="22"/>
      </w:rPr>
      <w:instrText>PAGE</w:instrText>
    </w:r>
    <w:r>
      <w:rPr>
        <w:sz w:val="22"/>
      </w:rPr>
      <w:fldChar w:fldCharType="separate"/>
    </w:r>
    <w:r>
      <w:rPr>
        <w:sz w:val="22"/>
      </w:rPr>
      <w:t>7</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1B136" w14:textId="77777777" w:rsidR="00230B88" w:rsidRDefault="00230B88">
      <w:r>
        <w:separator/>
      </w:r>
    </w:p>
  </w:footnote>
  <w:footnote w:type="continuationSeparator" w:id="0">
    <w:p w14:paraId="77D0680C" w14:textId="77777777" w:rsidR="00230B88" w:rsidRDefault="0023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76800" w14:textId="77777777" w:rsidR="00061875" w:rsidRDefault="00230B88">
    <w:pPr>
      <w:jc w:val="right"/>
      <w:rPr>
        <w:sz w:val="22"/>
      </w:rPr>
    </w:pPr>
    <w:r>
      <w:rPr>
        <w:sz w:val="22"/>
      </w:rPr>
      <w:t>Utskrift fra Lovdata - 03.12.2024 09:53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61875"/>
    <w:rsid w:val="001734FD"/>
    <w:rsid w:val="00230B88"/>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CDCBA5B"/>
  <w15:docId w15:val="{A9BDDFC3-2CD6-4A15-A484-81999C00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EF7B96"/>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F7B96"/>
    <w:pPr>
      <w:keepNext/>
      <w:spacing w:before="240" w:after="60"/>
      <w:outlineLvl w:val="2"/>
    </w:pPr>
    <w:rPr>
      <w:rFonts w:ascii="Arial" w:hAnsi="Arial" w:cs="Arial"/>
      <w:b/>
      <w:bCs/>
      <w:sz w:val="26"/>
      <w:szCs w:val="26"/>
    </w:rPr>
  </w:style>
  <w:style w:type="paragraph" w:styleId="Overskrift4">
    <w:name w:val="heading 4"/>
    <w:basedOn w:val="Normal"/>
    <w:next w:val="Normal"/>
    <w:qFormat/>
    <w:rsid w:val="00EF7B96"/>
    <w:pPr>
      <w:keepNext/>
      <w:spacing w:before="240" w:after="60"/>
      <w:outlineLvl w:val="3"/>
    </w:pPr>
    <w:rPr>
      <w:b/>
      <w:bCs/>
      <w:sz w:val="28"/>
      <w:szCs w:val="28"/>
    </w:rPr>
  </w:style>
  <w:style w:type="paragraph" w:styleId="Overskrift5">
    <w:name w:val="heading 5"/>
    <w:basedOn w:val="Normal"/>
    <w:next w:val="Normal"/>
    <w:qFormat/>
    <w:rsid w:val="00EF7B96"/>
    <w:pPr>
      <w:spacing w:before="240" w:after="60"/>
      <w:outlineLvl w:val="4"/>
    </w:pPr>
    <w:rPr>
      <w:b/>
      <w:bCs/>
      <w:iCs/>
      <w:sz w:val="26"/>
      <w:szCs w:val="26"/>
    </w:rPr>
  </w:style>
  <w:style w:type="paragraph" w:styleId="Overskrift6">
    <w:name w:val="heading 6"/>
    <w:basedOn w:val="Normal"/>
    <w:next w:val="Normal"/>
    <w:qFormat/>
    <w:rsid w:val="00EF7B96"/>
    <w:pPr>
      <w:spacing w:before="240" w:after="60"/>
      <w:outlineLvl w:val="5"/>
    </w:pPr>
    <w:rPr>
      <w:b/>
      <w:bCs/>
      <w:sz w:val="22"/>
      <w:szCs w:val="22"/>
    </w:rPr>
  </w:style>
  <w:style w:type="paragraph" w:styleId="Overskrift7">
    <w:name w:val="heading 7"/>
    <w:basedOn w:val="Normal"/>
    <w:next w:val="Normal"/>
    <w:qFormat/>
    <w:rsid w:val="00EF7B96"/>
    <w:pPr>
      <w:spacing w:before="240" w:after="60"/>
      <w:outlineLvl w:val="6"/>
    </w:pPr>
  </w:style>
  <w:style w:type="paragraph" w:styleId="Overskrift8">
    <w:name w:val="heading 8"/>
    <w:basedOn w:val="Normal"/>
    <w:next w:val="Normal"/>
    <w:qFormat/>
    <w:rsid w:val="00EF7B96"/>
    <w:pPr>
      <w:spacing w:before="240" w:after="60"/>
      <w:outlineLvl w:val="7"/>
    </w:pPr>
    <w:rPr>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rsid w:val="00805BCE"/>
    <w:rPr>
      <w:b/>
      <w:sz w:val="22"/>
    </w:rPr>
  </w:style>
  <w:style w:type="paragraph" w:styleId="INNH2">
    <w:name w:val="toc 2"/>
    <w:basedOn w:val="Normal"/>
    <w:next w:val="Normal"/>
    <w:autoRedefine/>
    <w:rsid w:val="00805BCE"/>
    <w:pPr>
      <w:ind w:left="240"/>
    </w:pPr>
    <w:rPr>
      <w:b/>
      <w:sz w:val="22"/>
    </w:rPr>
  </w:style>
  <w:style w:type="paragraph" w:styleId="INNH3">
    <w:name w:val="toc 3"/>
    <w:basedOn w:val="Normal"/>
    <w:next w:val="Normal"/>
    <w:autoRedefine/>
    <w:rsid w:val="00805BCE"/>
    <w:pPr>
      <w:ind w:left="480"/>
    </w:pPr>
    <w:rPr>
      <w:b/>
      <w:sz w:val="22"/>
    </w:rPr>
  </w:style>
  <w:style w:type="paragraph" w:styleId="INNH4">
    <w:name w:val="toc 4"/>
    <w:basedOn w:val="Normal"/>
    <w:next w:val="Normal"/>
    <w:autoRedefine/>
    <w:rsid w:val="00805BCE"/>
    <w:pPr>
      <w:ind w:left="720"/>
    </w:pPr>
    <w:rPr>
      <w:b/>
      <w:sz w:val="22"/>
    </w:rPr>
  </w:style>
  <w:style w:type="paragraph" w:styleId="INNH5">
    <w:name w:val="toc 5"/>
    <w:basedOn w:val="Normal"/>
    <w:next w:val="Normal"/>
    <w:autoRedefine/>
    <w:rsid w:val="00805BCE"/>
    <w:pPr>
      <w:ind w:left="960"/>
    </w:pPr>
    <w:rPr>
      <w:b/>
      <w:sz w:val="22"/>
    </w:rPr>
  </w:style>
  <w:style w:type="paragraph" w:styleId="INNH6">
    <w:name w:val="toc 6"/>
    <w:basedOn w:val="Normal"/>
    <w:next w:val="Normal"/>
    <w:autoRedefine/>
    <w:rsid w:val="00805BCE"/>
    <w:pPr>
      <w:ind w:left="1200"/>
    </w:pPr>
    <w:rPr>
      <w:b/>
      <w:sz w:val="22"/>
    </w:rPr>
  </w:style>
  <w:style w:type="paragraph" w:styleId="INNH7">
    <w:name w:val="toc 7"/>
    <w:basedOn w:val="Normal"/>
    <w:next w:val="Normal"/>
    <w:autoRedefine/>
    <w:rsid w:val="00805BCE"/>
    <w:pPr>
      <w:ind w:left="1440"/>
    </w:pPr>
    <w:rPr>
      <w:b/>
      <w:sz w:val="22"/>
    </w:rPr>
  </w:style>
  <w:style w:type="paragraph" w:styleId="INNH8">
    <w:name w:val="toc 8"/>
    <w:basedOn w:val="Normal"/>
    <w:next w:val="Normal"/>
    <w:autoRedefine/>
    <w:rsid w:val="00805BCE"/>
    <w:pPr>
      <w:ind w:left="1680"/>
    </w:pPr>
    <w:rPr>
      <w:b/>
      <w:sz w:val="22"/>
    </w:rPr>
  </w:style>
  <w:style w:type="paragraph" w:styleId="INNH9">
    <w:name w:val="toc 9"/>
    <w:basedOn w:val="Normal"/>
    <w:next w:val="Normal"/>
    <w:autoRedefine/>
    <w:rsid w:val="00805BCE"/>
    <w:pPr>
      <w:ind w:left="1920"/>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ovdata.no/pro" TargetMode="External"/><Relationship Id="rId13" Type="http://schemas.openxmlformats.org/officeDocument/2006/relationships/hyperlink" Target="https://lovdata.no/pro" TargetMode="External"/><Relationship Id="rId18" Type="http://schemas.openxmlformats.org/officeDocument/2006/relationships/hyperlink" Target="https://lovdata.no/pro" TargetMode="External"/><Relationship Id="rId26" Type="http://schemas.openxmlformats.org/officeDocument/2006/relationships/hyperlink" Target="https://lovdata.no/pro" TargetMode="External"/><Relationship Id="rId3" Type="http://schemas.openxmlformats.org/officeDocument/2006/relationships/webSettings" Target="webSettings.xml"/><Relationship Id="rId21" Type="http://schemas.openxmlformats.org/officeDocument/2006/relationships/hyperlink" Target="https://lovdata.no/pro" TargetMode="External"/><Relationship Id="rId7" Type="http://schemas.openxmlformats.org/officeDocument/2006/relationships/hyperlink" Target="https://lovdata.no/pro" TargetMode="External"/><Relationship Id="rId12" Type="http://schemas.openxmlformats.org/officeDocument/2006/relationships/hyperlink" Target="https://lovdata.no/pro" TargetMode="External"/><Relationship Id="rId17" Type="http://schemas.openxmlformats.org/officeDocument/2006/relationships/hyperlink" Target="https://lovdata.no/pro" TargetMode="External"/><Relationship Id="rId25" Type="http://schemas.openxmlformats.org/officeDocument/2006/relationships/hyperlink" Target="https://lovdata.no/pro" TargetMode="External"/><Relationship Id="rId2" Type="http://schemas.openxmlformats.org/officeDocument/2006/relationships/settings" Target="settings.xml"/><Relationship Id="rId16" Type="http://schemas.openxmlformats.org/officeDocument/2006/relationships/hyperlink" Target="https://lovdata.no/pro" TargetMode="External"/><Relationship Id="rId20" Type="http://schemas.openxmlformats.org/officeDocument/2006/relationships/hyperlink" Target="https://lovdata.no/pro"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vdata.no/pro" TargetMode="External"/><Relationship Id="rId24" Type="http://schemas.openxmlformats.org/officeDocument/2006/relationships/hyperlink" Target="https://lovdata.no/pro"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vdata.no/pro" TargetMode="External"/><Relationship Id="rId23" Type="http://schemas.openxmlformats.org/officeDocument/2006/relationships/hyperlink" Target="https://lovdata.no/pro" TargetMode="External"/><Relationship Id="rId28" Type="http://schemas.openxmlformats.org/officeDocument/2006/relationships/hyperlink" Target="https://lovdata.no/pro" TargetMode="External"/><Relationship Id="rId10" Type="http://schemas.openxmlformats.org/officeDocument/2006/relationships/hyperlink" Target="https://lovdata.no/pro" TargetMode="External"/><Relationship Id="rId19" Type="http://schemas.openxmlformats.org/officeDocument/2006/relationships/hyperlink" Target="https://lovdata.no/pro"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vdata.no/pro" TargetMode="External"/><Relationship Id="rId14" Type="http://schemas.openxmlformats.org/officeDocument/2006/relationships/hyperlink" Target="https://lovdata.no/pro" TargetMode="External"/><Relationship Id="rId22" Type="http://schemas.openxmlformats.org/officeDocument/2006/relationships/hyperlink" Target="https://lovdata.no/pro" TargetMode="External"/><Relationship Id="rId27" Type="http://schemas.openxmlformats.org/officeDocument/2006/relationships/hyperlink" Target="https://lovdata.no/pro"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4155</Words>
  <Characters>22024</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
    </vt:vector>
  </TitlesOfParts>
  <Company>Stiftelsen Lovdata</Company>
  <LinksUpToDate>false</LinksUpToDate>
  <CharactersWithSpaces>26127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Norges Høyesterett - Dom - HR-2017-2375-A</dc:title>
  <dc:subject>Norges Høyesterett - Dom - HR-2017-2375-A</dc:subject>
  <dc:creator>Stiftelsen Lovdata</dc:creator>
  <cp:lastModifiedBy>Arne Ringnes</cp:lastModifiedBy>
  <cp:revision>2</cp:revision>
  <dcterms:created xsi:type="dcterms:W3CDTF">2024-12-03T08:54:00Z</dcterms:created>
  <dcterms:modified xsi:type="dcterms:W3CDTF">2024-12-03T08:54:00Z</dcterms:modified>
  <cp:category>Juridisk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aultFont">
    <vt:lpwstr>Times New Roman</vt:lpwstr>
  </property>
  <property fmtid="{D5CDD505-2E9C-101B-9397-08002B2CF9AE}" pid="3" name="Lovdata-UID">
    <vt:i4>41611</vt:i4>
  </property>
</Properties>
</file>