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04F86" w14:textId="77777777" w:rsidR="00A77B3E" w:rsidRDefault="00A77B3E">
      <w:pPr>
        <w:rPr>
          <w:color w:val="000000"/>
        </w:rPr>
      </w:pPr>
    </w:p>
    <w:p w14:paraId="23478460" w14:textId="77777777" w:rsidR="00A77B3E" w:rsidRDefault="00D446B3">
      <w:pPr>
        <w:jc w:val="center"/>
        <w:rPr>
          <w:color w:val="000000"/>
        </w:rPr>
      </w:pPr>
      <w:r>
        <w:rPr>
          <w:color w:val="000000"/>
        </w:rPr>
        <w:t xml:space="preserve"> </w:t>
      </w:r>
    </w:p>
    <w:p w14:paraId="09AE1ACD" w14:textId="77777777" w:rsidR="00A77B3E" w:rsidRDefault="00D446B3">
      <w:pPr>
        <w:jc w:val="center"/>
        <w:rPr>
          <w:color w:val="000000"/>
        </w:rPr>
      </w:pPr>
      <w:r>
        <w:rPr>
          <w:noProof/>
          <w:color w:val="000000"/>
        </w:rPr>
        <w:drawing>
          <wp:anchor distT="0" distB="0" distL="114300" distR="114300" simplePos="0" relativeHeight="251658240" behindDoc="0" locked="0" layoutInCell="1" allowOverlap="1" wp14:anchorId="19B33974" wp14:editId="0BAFE60B">
            <wp:simplePos x="0" y="0"/>
            <wp:positionH relativeFrom="page">
              <wp:align>center</wp:align>
            </wp:positionH>
            <wp:positionV relativeFrom="paragraph">
              <wp:posOffset>0</wp:posOffset>
            </wp:positionV>
            <wp:extent cx="2088303" cy="327577"/>
            <wp:effectExtent l="0" t="0" r="0" b="0"/>
            <wp:wrapTopAndBottom/>
            <wp:docPr id="100001" name="Bild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2088303" cy="327577"/>
                    </a:xfrm>
                    <a:prstGeom prst="rect">
                      <a:avLst/>
                    </a:prstGeom>
                  </pic:spPr>
                </pic:pic>
              </a:graphicData>
            </a:graphic>
          </wp:anchor>
        </w:drawing>
      </w:r>
    </w:p>
    <w:p w14:paraId="7746E3FA" w14:textId="77777777" w:rsidR="00A77B3E" w:rsidRDefault="00D446B3">
      <w:pPr>
        <w:pStyle w:val="Overskrift1"/>
        <w:jc w:val="center"/>
        <w:rPr>
          <w:color w:val="000000"/>
        </w:rPr>
      </w:pPr>
      <w:r>
        <w:rPr>
          <w:color w:val="000000"/>
        </w:rPr>
        <w:t>Norges Høyesterett - Dom - HR-2022-2484-A</w:t>
      </w:r>
    </w:p>
    <w:p w14:paraId="75A4EA89" w14:textId="77777777" w:rsidR="0028101B" w:rsidRDefault="0028101B">
      <w:pPr>
        <w:jc w:val="center"/>
        <w:rPr>
          <w:sz w:val="22"/>
        </w:rPr>
      </w:pPr>
    </w:p>
    <w:p w14:paraId="52C683FA" w14:textId="77777777" w:rsidR="0028101B" w:rsidRDefault="0028101B">
      <w:pPr>
        <w:jc w:val="center"/>
        <w:rPr>
          <w:sz w:val="22"/>
        </w:rPr>
      </w:pPr>
      <w:bookmarkStart w:id="0" w:name="documentMeta"/>
    </w:p>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2520"/>
        <w:gridCol w:w="7562"/>
      </w:tblGrid>
      <w:tr w:rsidR="0028101B" w14:paraId="5A80CF22" w14:textId="77777777">
        <w:tc>
          <w:tcPr>
            <w:tcW w:w="2000" w:type="dxa"/>
          </w:tcPr>
          <w:p w14:paraId="24C1F18D" w14:textId="77777777" w:rsidR="0028101B" w:rsidRDefault="00D446B3">
            <w:pPr>
              <w:spacing w:before="100"/>
              <w:rPr>
                <w:sz w:val="22"/>
              </w:rPr>
            </w:pPr>
            <w:r>
              <w:rPr>
                <w:sz w:val="22"/>
              </w:rPr>
              <w:t>Instans</w:t>
            </w:r>
          </w:p>
        </w:tc>
        <w:tc>
          <w:tcPr>
            <w:tcW w:w="6000" w:type="dxa"/>
          </w:tcPr>
          <w:p w14:paraId="3F5C7EFF" w14:textId="77777777" w:rsidR="0028101B" w:rsidRDefault="00D446B3">
            <w:pPr>
              <w:spacing w:before="100"/>
              <w:rPr>
                <w:sz w:val="22"/>
              </w:rPr>
            </w:pPr>
            <w:r>
              <w:rPr>
                <w:sz w:val="22"/>
              </w:rPr>
              <w:t>Norges Høyesterett – Dom</w:t>
            </w:r>
          </w:p>
        </w:tc>
      </w:tr>
      <w:tr w:rsidR="0028101B" w14:paraId="7D98081C" w14:textId="77777777">
        <w:tc>
          <w:tcPr>
            <w:tcW w:w="2000" w:type="dxa"/>
          </w:tcPr>
          <w:p w14:paraId="1A9724AB" w14:textId="77777777" w:rsidR="0028101B" w:rsidRDefault="00D446B3">
            <w:pPr>
              <w:spacing w:before="100"/>
              <w:rPr>
                <w:sz w:val="22"/>
              </w:rPr>
            </w:pPr>
            <w:r>
              <w:rPr>
                <w:sz w:val="22"/>
              </w:rPr>
              <w:t>Dato</w:t>
            </w:r>
          </w:p>
        </w:tc>
        <w:tc>
          <w:tcPr>
            <w:tcW w:w="6000" w:type="dxa"/>
          </w:tcPr>
          <w:p w14:paraId="33667B61" w14:textId="77777777" w:rsidR="0028101B" w:rsidRDefault="00D446B3">
            <w:pPr>
              <w:spacing w:before="100"/>
              <w:rPr>
                <w:sz w:val="22"/>
              </w:rPr>
            </w:pPr>
            <w:r>
              <w:rPr>
                <w:sz w:val="22"/>
              </w:rPr>
              <w:t>2022-12-22</w:t>
            </w:r>
          </w:p>
        </w:tc>
      </w:tr>
      <w:tr w:rsidR="0028101B" w14:paraId="381E6AE5" w14:textId="77777777">
        <w:tc>
          <w:tcPr>
            <w:tcW w:w="2000" w:type="dxa"/>
          </w:tcPr>
          <w:p w14:paraId="4C7C0C23" w14:textId="77777777" w:rsidR="0028101B" w:rsidRDefault="00D446B3">
            <w:pPr>
              <w:spacing w:before="100"/>
              <w:rPr>
                <w:sz w:val="22"/>
              </w:rPr>
            </w:pPr>
            <w:r>
              <w:rPr>
                <w:sz w:val="22"/>
              </w:rPr>
              <w:t>Publisert</w:t>
            </w:r>
          </w:p>
        </w:tc>
        <w:tc>
          <w:tcPr>
            <w:tcW w:w="6000" w:type="dxa"/>
          </w:tcPr>
          <w:p w14:paraId="4DEA7F31" w14:textId="77777777" w:rsidR="0028101B" w:rsidRDefault="00D446B3">
            <w:pPr>
              <w:spacing w:before="100"/>
              <w:rPr>
                <w:sz w:val="22"/>
              </w:rPr>
            </w:pPr>
            <w:r>
              <w:rPr>
                <w:sz w:val="22"/>
              </w:rPr>
              <w:t>HR-2022-2484-A</w:t>
            </w:r>
          </w:p>
        </w:tc>
      </w:tr>
      <w:tr w:rsidR="0028101B" w14:paraId="679A0F06" w14:textId="77777777">
        <w:tc>
          <w:tcPr>
            <w:tcW w:w="2000" w:type="dxa"/>
          </w:tcPr>
          <w:p w14:paraId="01F7A2D8" w14:textId="77777777" w:rsidR="0028101B" w:rsidRDefault="00D446B3">
            <w:pPr>
              <w:spacing w:before="100"/>
              <w:rPr>
                <w:sz w:val="22"/>
              </w:rPr>
            </w:pPr>
            <w:r>
              <w:rPr>
                <w:sz w:val="22"/>
              </w:rPr>
              <w:t>Stikkord</w:t>
            </w:r>
          </w:p>
        </w:tc>
        <w:tc>
          <w:tcPr>
            <w:tcW w:w="6000" w:type="dxa"/>
          </w:tcPr>
          <w:p w14:paraId="142EEF2B" w14:textId="77777777" w:rsidR="0028101B" w:rsidRDefault="00D446B3">
            <w:pPr>
              <w:spacing w:before="100"/>
              <w:rPr>
                <w:sz w:val="22"/>
              </w:rPr>
            </w:pPr>
            <w:r>
              <w:rPr>
                <w:sz w:val="22"/>
              </w:rPr>
              <w:t>Selskapsrett. Erstatning. Styreansvar.</w:t>
            </w:r>
          </w:p>
        </w:tc>
      </w:tr>
      <w:tr w:rsidR="0028101B" w14:paraId="7E467691" w14:textId="77777777">
        <w:tc>
          <w:tcPr>
            <w:tcW w:w="2000" w:type="dxa"/>
          </w:tcPr>
          <w:p w14:paraId="1C3F5830" w14:textId="77777777" w:rsidR="0028101B" w:rsidRDefault="00D446B3">
            <w:pPr>
              <w:spacing w:before="100"/>
              <w:rPr>
                <w:sz w:val="22"/>
              </w:rPr>
            </w:pPr>
            <w:r>
              <w:rPr>
                <w:sz w:val="22"/>
              </w:rPr>
              <w:t>Sammendrag</w:t>
            </w:r>
          </w:p>
        </w:tc>
        <w:tc>
          <w:tcPr>
            <w:tcW w:w="6000" w:type="dxa"/>
          </w:tcPr>
          <w:p w14:paraId="4526D858" w14:textId="77777777" w:rsidR="0028101B" w:rsidRDefault="00D446B3">
            <w:pPr>
              <w:spacing w:before="100"/>
              <w:rPr>
                <w:sz w:val="22"/>
              </w:rPr>
            </w:pPr>
            <w:r>
              <w:rPr>
                <w:sz w:val="22"/>
              </w:rPr>
              <w:t xml:space="preserve">Investorer som hadde tegnet aksjer ved en rettet emisjon i et selskap som skulle utvikle og selge et medisinsk produkt, reiste erstatningssak mot styremedlemmene i selskapet på grunn av angivelig uriktig eller villedende informasjon i forbindelse med emisjonen, jf. </w:t>
            </w:r>
            <w:hyperlink r:id="rId7" w:anchor="reference/lov/1997-06-13-44/§17-1" w:history="1">
              <w:r>
                <w:rPr>
                  <w:sz w:val="22"/>
                </w:rPr>
                <w:t>aksjeloven § 17-1</w:t>
              </w:r>
            </w:hyperlink>
            <w:r>
              <w:rPr>
                <w:sz w:val="22"/>
              </w:rPr>
              <w:t>. Ferdigstillelsen og salget av produktet, som skulle benyttes til å behandle søvnforstyrrelser, var blitt forsinket, og selskapet tatt under konkursbehandling. Høyesterett kom til at opplysningene styremedlemmene hadde gitt om faktiske forhold, i det vesentlige var korrekte, men at de på grunn av utilstrekkelig testing hadde feilvurdert mulighetene for gjenbruk av produktet. Denne feilvurderingen var allikevel ikke tilstrekkelig til å ilegge erstatningsansvar. Det ble vist til at terskelen for å ilegge ans</w:t>
            </w:r>
            <w:r>
              <w:rPr>
                <w:sz w:val="22"/>
              </w:rPr>
              <w:t>var på grunnlag av en feilvurdering er høy. Investorene måtte selv bære risikoen for at deres forventninger om fremtiden ikke slo til. De var også profesjonelle og klar over at det heftet teknisk risiko knyttet til utviklingen av produktet. Styremedlemmene ble frifunnet. (</w:t>
            </w:r>
            <w:proofErr w:type="spellStart"/>
            <w:r>
              <w:rPr>
                <w:sz w:val="22"/>
              </w:rPr>
              <w:t>Rt</w:t>
            </w:r>
            <w:proofErr w:type="spellEnd"/>
            <w:r>
              <w:rPr>
                <w:sz w:val="22"/>
              </w:rPr>
              <w:t>-sammendrag)</w:t>
            </w:r>
          </w:p>
        </w:tc>
      </w:tr>
      <w:tr w:rsidR="0028101B" w14:paraId="25DD7E4E" w14:textId="77777777">
        <w:tc>
          <w:tcPr>
            <w:tcW w:w="2000" w:type="dxa"/>
          </w:tcPr>
          <w:p w14:paraId="703F8744" w14:textId="77777777" w:rsidR="0028101B" w:rsidRDefault="00D446B3">
            <w:pPr>
              <w:spacing w:before="100"/>
              <w:rPr>
                <w:sz w:val="22"/>
              </w:rPr>
            </w:pPr>
            <w:r>
              <w:rPr>
                <w:sz w:val="22"/>
              </w:rPr>
              <w:t>Saksgang</w:t>
            </w:r>
          </w:p>
        </w:tc>
        <w:tc>
          <w:tcPr>
            <w:tcW w:w="6000" w:type="dxa"/>
          </w:tcPr>
          <w:p w14:paraId="50353FCD" w14:textId="77777777" w:rsidR="0028101B" w:rsidRDefault="00D446B3">
            <w:pPr>
              <w:spacing w:before="100"/>
              <w:rPr>
                <w:sz w:val="22"/>
              </w:rPr>
            </w:pPr>
            <w:r>
              <w:rPr>
                <w:sz w:val="22"/>
              </w:rPr>
              <w:t>Bergen tingrett TBERG-2018-159512 – Gulating lagmannsrett LG-2020-98882-2 – Høyesterett HR-2022-2484-A, (sak nr. 22-029898SIV-HRET).</w:t>
            </w:r>
          </w:p>
        </w:tc>
      </w:tr>
      <w:tr w:rsidR="0028101B" w14:paraId="13DC9E7F" w14:textId="77777777">
        <w:tc>
          <w:tcPr>
            <w:tcW w:w="2000" w:type="dxa"/>
          </w:tcPr>
          <w:p w14:paraId="3D434037" w14:textId="77777777" w:rsidR="0028101B" w:rsidRDefault="00D446B3">
            <w:pPr>
              <w:spacing w:before="100"/>
              <w:rPr>
                <w:sz w:val="22"/>
              </w:rPr>
            </w:pPr>
            <w:r>
              <w:rPr>
                <w:sz w:val="22"/>
              </w:rPr>
              <w:t>Parter</w:t>
            </w:r>
          </w:p>
        </w:tc>
        <w:tc>
          <w:tcPr>
            <w:tcW w:w="6000" w:type="dxa"/>
          </w:tcPr>
          <w:p w14:paraId="58035B91" w14:textId="77777777" w:rsidR="0028101B" w:rsidRDefault="00D446B3">
            <w:pPr>
              <w:spacing w:before="100"/>
              <w:rPr>
                <w:sz w:val="22"/>
              </w:rPr>
            </w:pPr>
            <w:r>
              <w:rPr>
                <w:sz w:val="22"/>
              </w:rPr>
              <w:t xml:space="preserve">I. H.M. </w:t>
            </w:r>
            <w:proofErr w:type="spellStart"/>
            <w:r>
              <w:rPr>
                <w:sz w:val="22"/>
              </w:rPr>
              <w:t>Structures</w:t>
            </w:r>
            <w:proofErr w:type="spellEnd"/>
            <w:r>
              <w:rPr>
                <w:sz w:val="22"/>
              </w:rPr>
              <w:t xml:space="preserve"> Limited og D (advokat Ola Haugen) mot E og F (advokat Vidar Riksfjord – til prøve).</w:t>
            </w:r>
            <w:r>
              <w:rPr>
                <w:sz w:val="22"/>
              </w:rPr>
              <w:br/>
              <w:t xml:space="preserve">II. E og F (advokat Vidar Riksfjord – til prøve) mot H.M. </w:t>
            </w:r>
            <w:proofErr w:type="spellStart"/>
            <w:r>
              <w:rPr>
                <w:sz w:val="22"/>
              </w:rPr>
              <w:t>Structures</w:t>
            </w:r>
            <w:proofErr w:type="spellEnd"/>
            <w:r>
              <w:rPr>
                <w:sz w:val="22"/>
              </w:rPr>
              <w:t xml:space="preserve"> Limited og D (advokat Ola Haugen).</w:t>
            </w:r>
          </w:p>
        </w:tc>
      </w:tr>
      <w:tr w:rsidR="0028101B" w14:paraId="320E8F98" w14:textId="77777777">
        <w:tc>
          <w:tcPr>
            <w:tcW w:w="2000" w:type="dxa"/>
          </w:tcPr>
          <w:p w14:paraId="11B9394B" w14:textId="77777777" w:rsidR="0028101B" w:rsidRDefault="00D446B3">
            <w:pPr>
              <w:spacing w:before="100"/>
              <w:rPr>
                <w:sz w:val="22"/>
              </w:rPr>
            </w:pPr>
            <w:r>
              <w:rPr>
                <w:sz w:val="22"/>
              </w:rPr>
              <w:t>Forfatter</w:t>
            </w:r>
          </w:p>
        </w:tc>
        <w:tc>
          <w:tcPr>
            <w:tcW w:w="6000" w:type="dxa"/>
          </w:tcPr>
          <w:p w14:paraId="09D7ACD8" w14:textId="77777777" w:rsidR="0028101B" w:rsidRDefault="00D446B3">
            <w:pPr>
              <w:spacing w:before="100"/>
              <w:rPr>
                <w:sz w:val="22"/>
              </w:rPr>
            </w:pPr>
            <w:r>
              <w:rPr>
                <w:sz w:val="22"/>
              </w:rPr>
              <w:t>Dommerne Kristin Normann, Knut H. Kallerud, Cecilie Østensen Berglund, Ingvald Falch og Hilde Indreberg.</w:t>
            </w:r>
          </w:p>
        </w:tc>
      </w:tr>
      <w:tr w:rsidR="0028101B" w14:paraId="4E5FF5DD" w14:textId="77777777">
        <w:tc>
          <w:tcPr>
            <w:tcW w:w="2000" w:type="dxa"/>
          </w:tcPr>
          <w:p w14:paraId="73A78BBD" w14:textId="77777777" w:rsidR="0028101B" w:rsidRDefault="00D446B3">
            <w:pPr>
              <w:spacing w:before="100"/>
              <w:rPr>
                <w:sz w:val="22"/>
              </w:rPr>
            </w:pPr>
            <w:r>
              <w:rPr>
                <w:sz w:val="22"/>
              </w:rPr>
              <w:t>Sist oppdatert</w:t>
            </w:r>
          </w:p>
        </w:tc>
        <w:tc>
          <w:tcPr>
            <w:tcW w:w="6000" w:type="dxa"/>
          </w:tcPr>
          <w:p w14:paraId="7DA8C379" w14:textId="77777777" w:rsidR="0028101B" w:rsidRDefault="00D446B3">
            <w:pPr>
              <w:spacing w:before="100"/>
              <w:rPr>
                <w:sz w:val="22"/>
              </w:rPr>
            </w:pPr>
            <w:r>
              <w:rPr>
                <w:sz w:val="22"/>
              </w:rPr>
              <w:t>2023-01-05</w:t>
            </w:r>
          </w:p>
        </w:tc>
      </w:tr>
    </w:tbl>
    <w:p w14:paraId="5267F155" w14:textId="77777777" w:rsidR="0028101B" w:rsidRDefault="0028101B">
      <w:pPr>
        <w:spacing w:before="100"/>
        <w:jc w:val="center"/>
        <w:rPr>
          <w:sz w:val="22"/>
        </w:rPr>
      </w:pPr>
    </w:p>
    <w:p w14:paraId="78A21FBE" w14:textId="77777777" w:rsidR="0028101B" w:rsidRDefault="00D446B3">
      <w:pPr>
        <w:jc w:val="center"/>
        <w:rPr>
          <w:sz w:val="22"/>
        </w:rPr>
      </w:pPr>
      <w:r>
        <w:pict w14:anchorId="7618F1BC">
          <v:rect id="_x0000_i1025" style="width:493.3pt;height:2.25pt" o:hralign="center" o:hrstd="t" o:hrnoshade="t" o:hr="t" fillcolor="#cd0c1a" stroked="f">
            <v:path strokeok="f"/>
          </v:rect>
        </w:pict>
      </w:r>
    </w:p>
    <w:p w14:paraId="7EA8C25E" w14:textId="77777777" w:rsidR="0028101B" w:rsidRDefault="00D446B3">
      <w:pPr>
        <w:jc w:val="center"/>
        <w:rPr>
          <w:sz w:val="22"/>
        </w:rPr>
      </w:pPr>
      <w:r>
        <w:rPr>
          <w:sz w:val="22"/>
        </w:rPr>
        <w:br w:type="page"/>
      </w:r>
      <w:bookmarkEnd w:id="0"/>
    </w:p>
    <w:p w14:paraId="2B358437" w14:textId="77777777" w:rsidR="0028101B" w:rsidRDefault="0028101B">
      <w:pPr>
        <w:rPr>
          <w:sz w:val="6"/>
        </w:rPr>
      </w:pPr>
      <w:bookmarkStart w:id="1" w:name="documentBody"/>
    </w:p>
    <w:p w14:paraId="3F1DF365"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6DE764AC" w14:textId="77777777">
        <w:tc>
          <w:tcPr>
            <w:tcW w:w="720" w:type="dxa"/>
            <w:noWrap/>
            <w:tcMar>
              <w:right w:w="80" w:type="dxa"/>
            </w:tcMar>
          </w:tcPr>
          <w:p w14:paraId="7B0F331E" w14:textId="77777777" w:rsidR="0028101B" w:rsidRDefault="00D446B3">
            <w:pPr>
              <w:rPr>
                <w:sz w:val="22"/>
              </w:rPr>
            </w:pPr>
            <w:r>
              <w:rPr>
                <w:sz w:val="22"/>
              </w:rPr>
              <w:t>(1)</w:t>
            </w:r>
          </w:p>
        </w:tc>
        <w:tc>
          <w:tcPr>
            <w:tcW w:w="0" w:type="auto"/>
            <w:tcMar>
              <w:right w:w="80" w:type="dxa"/>
            </w:tcMar>
          </w:tcPr>
          <w:p w14:paraId="11290667" w14:textId="77777777" w:rsidR="0028101B" w:rsidRDefault="00D446B3">
            <w:pPr>
              <w:rPr>
                <w:sz w:val="22"/>
              </w:rPr>
            </w:pPr>
            <w:r>
              <w:rPr>
                <w:sz w:val="22"/>
              </w:rPr>
              <w:t xml:space="preserve">Dommer </w:t>
            </w:r>
            <w:r>
              <w:rPr>
                <w:b/>
                <w:sz w:val="22"/>
              </w:rPr>
              <w:t>Normann:</w:t>
            </w:r>
          </w:p>
        </w:tc>
      </w:tr>
    </w:tbl>
    <w:p w14:paraId="610E10B8" w14:textId="77777777" w:rsidR="0028101B" w:rsidRDefault="0028101B">
      <w:pPr>
        <w:rPr>
          <w:sz w:val="22"/>
        </w:rPr>
      </w:pPr>
      <w:bookmarkStart w:id="2" w:name="KAPITTEL_1"/>
    </w:p>
    <w:p w14:paraId="73A454F5" w14:textId="77777777" w:rsidR="0028101B" w:rsidRDefault="0028101B">
      <w:pPr>
        <w:rPr>
          <w:sz w:val="22"/>
        </w:rPr>
      </w:pPr>
    </w:p>
    <w:p w14:paraId="025C2D59" w14:textId="77777777" w:rsidR="0028101B" w:rsidRDefault="0028101B">
      <w:pPr>
        <w:rPr>
          <w:sz w:val="22"/>
        </w:rPr>
      </w:pPr>
    </w:p>
    <w:p w14:paraId="25446A01" w14:textId="77777777" w:rsidR="0028101B" w:rsidRDefault="00D446B3">
      <w:pPr>
        <w:pStyle w:val="Overskrift2"/>
        <w:spacing w:before="0" w:after="0"/>
      </w:pPr>
      <w:r>
        <w:t>Sakens spørsmål og bakgrunn</w:t>
      </w:r>
    </w:p>
    <w:p w14:paraId="4CA36475"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50C028C" w14:textId="77777777">
        <w:tc>
          <w:tcPr>
            <w:tcW w:w="720" w:type="dxa"/>
            <w:noWrap/>
            <w:tcMar>
              <w:right w:w="80" w:type="dxa"/>
            </w:tcMar>
          </w:tcPr>
          <w:p w14:paraId="3351C0E9" w14:textId="77777777" w:rsidR="0028101B" w:rsidRDefault="00D446B3">
            <w:pPr>
              <w:rPr>
                <w:sz w:val="22"/>
              </w:rPr>
            </w:pPr>
            <w:r>
              <w:rPr>
                <w:sz w:val="22"/>
              </w:rPr>
              <w:t>(2)</w:t>
            </w:r>
          </w:p>
        </w:tc>
        <w:tc>
          <w:tcPr>
            <w:tcW w:w="0" w:type="auto"/>
            <w:tcMar>
              <w:right w:w="80" w:type="dxa"/>
            </w:tcMar>
          </w:tcPr>
          <w:p w14:paraId="62626D67" w14:textId="77777777" w:rsidR="0028101B" w:rsidRDefault="00D446B3">
            <w:pPr>
              <w:rPr>
                <w:sz w:val="22"/>
              </w:rPr>
            </w:pPr>
            <w:r>
              <w:rPr>
                <w:sz w:val="22"/>
              </w:rPr>
              <w:t xml:space="preserve">Saken gjelder erstatningsansvar for styremedlemmer i et aksjeselskap for tap investorene mener å ha lidt på grunn av uriktig eller villedende informasjon som ble gitt i forbindelse med en kapitalforhøyelse i selskapet, jf. </w:t>
            </w:r>
            <w:hyperlink r:id="rId8" w:anchor="reference/lov/1997-06-13-44/§17-1" w:history="1">
              <w:r>
                <w:rPr>
                  <w:sz w:val="22"/>
                </w:rPr>
                <w:t>aksjeloven § 17-1</w:t>
              </w:r>
            </w:hyperlink>
            <w:r>
              <w:rPr>
                <w:sz w:val="22"/>
              </w:rPr>
              <w:t>.</w:t>
            </w:r>
          </w:p>
        </w:tc>
      </w:tr>
    </w:tbl>
    <w:p w14:paraId="68CAB7E8" w14:textId="77777777" w:rsidR="0028101B" w:rsidRDefault="0028101B">
      <w:pPr>
        <w:rPr>
          <w:sz w:val="6"/>
        </w:rPr>
      </w:pPr>
    </w:p>
    <w:p w14:paraId="43FE33A5"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65D7D8FC" w14:textId="77777777">
        <w:tc>
          <w:tcPr>
            <w:tcW w:w="720" w:type="dxa"/>
            <w:noWrap/>
            <w:tcMar>
              <w:right w:w="80" w:type="dxa"/>
            </w:tcMar>
          </w:tcPr>
          <w:p w14:paraId="0A101E28" w14:textId="77777777" w:rsidR="0028101B" w:rsidRDefault="00D446B3">
            <w:pPr>
              <w:rPr>
                <w:sz w:val="22"/>
              </w:rPr>
            </w:pPr>
            <w:r>
              <w:rPr>
                <w:sz w:val="22"/>
              </w:rPr>
              <w:t>(3)</w:t>
            </w:r>
          </w:p>
        </w:tc>
        <w:tc>
          <w:tcPr>
            <w:tcW w:w="0" w:type="auto"/>
            <w:tcMar>
              <w:right w:w="80" w:type="dxa"/>
            </w:tcMar>
          </w:tcPr>
          <w:p w14:paraId="27619683" w14:textId="77777777" w:rsidR="0028101B" w:rsidRDefault="00D446B3">
            <w:pPr>
              <w:rPr>
                <w:sz w:val="22"/>
              </w:rPr>
            </w:pPr>
            <w:r>
              <w:rPr>
                <w:sz w:val="22"/>
              </w:rPr>
              <w:t xml:space="preserve">F er lege og spesialist i øre-, nese- og halssykdommer med ytterligere spesialisering innen utredning og behandling av søvnforstyrrelser. Han hadde arbeidet i flere år med avdekking av søvnrelaterte problemer da han traff E på 1990-tallet. E er sivilingeniør med doktorgrad innen akustiske sensorer for </w:t>
            </w:r>
            <w:proofErr w:type="spellStart"/>
            <w:r>
              <w:rPr>
                <w:sz w:val="22"/>
              </w:rPr>
              <w:t>undervannsroboter</w:t>
            </w:r>
            <w:proofErr w:type="spellEnd"/>
            <w:r>
              <w:rPr>
                <w:sz w:val="22"/>
              </w:rPr>
              <w:t xml:space="preserve">, som senere ble utviklet som </w:t>
            </w:r>
            <w:proofErr w:type="spellStart"/>
            <w:r>
              <w:rPr>
                <w:sz w:val="22"/>
              </w:rPr>
              <w:t>ekkoskop</w:t>
            </w:r>
            <w:proofErr w:type="spellEnd"/>
            <w:r>
              <w:rPr>
                <w:sz w:val="22"/>
              </w:rPr>
              <w:t xml:space="preserve"> med 3D akustisk kamera. Han var ansatt i </w:t>
            </w:r>
            <w:proofErr w:type="spellStart"/>
            <w:r>
              <w:rPr>
                <w:sz w:val="22"/>
              </w:rPr>
              <w:t>Omnitech</w:t>
            </w:r>
            <w:proofErr w:type="spellEnd"/>
            <w:r>
              <w:rPr>
                <w:sz w:val="22"/>
              </w:rPr>
              <w:t xml:space="preserve"> AS. E og F mente at de sammen hadde de nødvendige forutsetninger for å utvikle et produkt som kunne benyttes til å utrede og behandle ulike søvnforstyrrelser. Mens E fremdeles var ansatt i </w:t>
            </w:r>
            <w:proofErr w:type="spellStart"/>
            <w:r>
              <w:rPr>
                <w:sz w:val="22"/>
              </w:rPr>
              <w:t>Omnitech</w:t>
            </w:r>
            <w:proofErr w:type="spellEnd"/>
            <w:r>
              <w:rPr>
                <w:sz w:val="22"/>
              </w:rPr>
              <w:t>, og F til dels arbeidet på Haukeland sykehus og til dels drev egen spesialistpraksis, startet de utviklingen av et slikt produkt. De søkte og fikk tildelt midler fra Forskningsrådet til utviklingen av den før</w:t>
            </w:r>
            <w:r>
              <w:rPr>
                <w:sz w:val="22"/>
              </w:rPr>
              <w:t xml:space="preserve">ste versjonen av produktet, AG100, som var ferdig omkring 2000. AG100 ble videreutviklet til AG200, som var ferdig omkring 2002. Det ble solgt 200 enheter av AG200 via </w:t>
            </w:r>
            <w:proofErr w:type="spellStart"/>
            <w:r>
              <w:rPr>
                <w:sz w:val="22"/>
              </w:rPr>
              <w:t>Fs</w:t>
            </w:r>
            <w:proofErr w:type="spellEnd"/>
            <w:r>
              <w:rPr>
                <w:sz w:val="22"/>
              </w:rPr>
              <w:t xml:space="preserve"> selskap MRA Medical Ltd. i England.</w:t>
            </w:r>
          </w:p>
        </w:tc>
      </w:tr>
    </w:tbl>
    <w:p w14:paraId="24AC1AA2" w14:textId="77777777" w:rsidR="0028101B" w:rsidRDefault="0028101B">
      <w:pPr>
        <w:rPr>
          <w:sz w:val="6"/>
        </w:rPr>
      </w:pPr>
    </w:p>
    <w:p w14:paraId="79867F95"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434A5D39" w14:textId="77777777">
        <w:tc>
          <w:tcPr>
            <w:tcW w:w="720" w:type="dxa"/>
            <w:noWrap/>
            <w:tcMar>
              <w:right w:w="80" w:type="dxa"/>
            </w:tcMar>
          </w:tcPr>
          <w:p w14:paraId="37D962F4" w14:textId="77777777" w:rsidR="0028101B" w:rsidRDefault="00D446B3">
            <w:pPr>
              <w:rPr>
                <w:sz w:val="22"/>
              </w:rPr>
            </w:pPr>
            <w:r>
              <w:rPr>
                <w:sz w:val="22"/>
              </w:rPr>
              <w:t>(4)</w:t>
            </w:r>
          </w:p>
        </w:tc>
        <w:tc>
          <w:tcPr>
            <w:tcW w:w="0" w:type="auto"/>
            <w:tcMar>
              <w:right w:w="80" w:type="dxa"/>
            </w:tcMar>
          </w:tcPr>
          <w:p w14:paraId="29B5ECCE" w14:textId="77777777" w:rsidR="0028101B" w:rsidRDefault="00D446B3">
            <w:pPr>
              <w:rPr>
                <w:sz w:val="22"/>
              </w:rPr>
            </w:pPr>
            <w:proofErr w:type="spellStart"/>
            <w:r>
              <w:rPr>
                <w:sz w:val="22"/>
              </w:rPr>
              <w:t>Spiro</w:t>
            </w:r>
            <w:proofErr w:type="spellEnd"/>
            <w:r>
              <w:rPr>
                <w:sz w:val="22"/>
              </w:rPr>
              <w:t xml:space="preserve"> Medical AS (</w:t>
            </w:r>
            <w:proofErr w:type="spellStart"/>
            <w:r>
              <w:rPr>
                <w:sz w:val="22"/>
              </w:rPr>
              <w:t>Spiro</w:t>
            </w:r>
            <w:proofErr w:type="spellEnd"/>
            <w:r>
              <w:rPr>
                <w:sz w:val="22"/>
              </w:rPr>
              <w:t>) ble stiftet 18. februar 2011 i Bergen og registrert i Foretaksregisteret 19. april samme år. Selskapets vedtektsbestemte formål var «forskning, utvikling, produksjon og salg av medisinsk teknisk utstyr og programvare, investering i andre selskaper samt alt som hører naturlig til dette». Stifterne var F, E og G.</w:t>
            </w:r>
          </w:p>
        </w:tc>
      </w:tr>
    </w:tbl>
    <w:p w14:paraId="16E72B00" w14:textId="77777777" w:rsidR="0028101B" w:rsidRDefault="0028101B">
      <w:pPr>
        <w:rPr>
          <w:sz w:val="6"/>
        </w:rPr>
      </w:pPr>
    </w:p>
    <w:p w14:paraId="3D6969EE"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0C873774" w14:textId="77777777">
        <w:tc>
          <w:tcPr>
            <w:tcW w:w="720" w:type="dxa"/>
            <w:noWrap/>
            <w:tcMar>
              <w:right w:w="80" w:type="dxa"/>
            </w:tcMar>
          </w:tcPr>
          <w:p w14:paraId="10119B84" w14:textId="77777777" w:rsidR="0028101B" w:rsidRDefault="00D446B3">
            <w:pPr>
              <w:rPr>
                <w:sz w:val="22"/>
              </w:rPr>
            </w:pPr>
            <w:r>
              <w:rPr>
                <w:sz w:val="22"/>
              </w:rPr>
              <w:t>(5)</w:t>
            </w:r>
          </w:p>
        </w:tc>
        <w:tc>
          <w:tcPr>
            <w:tcW w:w="0" w:type="auto"/>
            <w:tcMar>
              <w:right w:w="80" w:type="dxa"/>
            </w:tcMar>
          </w:tcPr>
          <w:p w14:paraId="0E87D872" w14:textId="77777777" w:rsidR="0028101B" w:rsidRDefault="00D446B3">
            <w:pPr>
              <w:rPr>
                <w:sz w:val="22"/>
              </w:rPr>
            </w:pPr>
            <w:r>
              <w:rPr>
                <w:sz w:val="22"/>
              </w:rPr>
              <w:t xml:space="preserve">I årene 2008 og 2012 ble det vedtatt nye regler, blant annet en ny IOS-standard, for denne type produkter. AG200 oppfylte ikke de nye kravene og kunne ikke selges fra desember 2014. E og F bestemte seg derfor for å utvikle en ny og forbedret versjon gjennom </w:t>
            </w:r>
            <w:proofErr w:type="spellStart"/>
            <w:r>
              <w:rPr>
                <w:sz w:val="22"/>
              </w:rPr>
              <w:t>Spiro</w:t>
            </w:r>
            <w:proofErr w:type="spellEnd"/>
            <w:r>
              <w:rPr>
                <w:sz w:val="22"/>
              </w:rPr>
              <w:t xml:space="preserve">. Selskapets hovedformål var å utvikle og selge produktet </w:t>
            </w:r>
            <w:proofErr w:type="spellStart"/>
            <w:r>
              <w:rPr>
                <w:sz w:val="22"/>
              </w:rPr>
              <w:t>ApneaGraph</w:t>
            </w:r>
            <w:proofErr w:type="spellEnd"/>
            <w:r>
              <w:rPr>
                <w:sz w:val="22"/>
              </w:rPr>
              <w:t xml:space="preserve"> </w:t>
            </w:r>
            <w:proofErr w:type="spellStart"/>
            <w:r>
              <w:rPr>
                <w:sz w:val="22"/>
              </w:rPr>
              <w:t>Spiro</w:t>
            </w:r>
            <w:proofErr w:type="spellEnd"/>
            <w:r>
              <w:rPr>
                <w:sz w:val="22"/>
              </w:rPr>
              <w:t xml:space="preserve">, en forbedret versjon av AG200. E sa opp sin stilling for å arbeide fulltid med utviklingen av produktet. Formelt ble han og F lønnet av sine respektive selskaper [virksomhet] AS og </w:t>
            </w:r>
            <w:proofErr w:type="spellStart"/>
            <w:r>
              <w:rPr>
                <w:sz w:val="22"/>
              </w:rPr>
              <w:t>Eurosleep</w:t>
            </w:r>
            <w:proofErr w:type="spellEnd"/>
            <w:r>
              <w:rPr>
                <w:sz w:val="22"/>
              </w:rPr>
              <w:t xml:space="preserve"> AS, som fakturerte </w:t>
            </w:r>
            <w:proofErr w:type="spellStart"/>
            <w:r>
              <w:rPr>
                <w:sz w:val="22"/>
              </w:rPr>
              <w:t>Spiro</w:t>
            </w:r>
            <w:proofErr w:type="spellEnd"/>
            <w:r>
              <w:rPr>
                <w:sz w:val="22"/>
              </w:rPr>
              <w:t xml:space="preserve"> for deres konsulenttjenester.</w:t>
            </w:r>
          </w:p>
        </w:tc>
      </w:tr>
    </w:tbl>
    <w:p w14:paraId="3A670CCC" w14:textId="77777777" w:rsidR="0028101B" w:rsidRDefault="0028101B">
      <w:pPr>
        <w:rPr>
          <w:sz w:val="6"/>
        </w:rPr>
      </w:pPr>
    </w:p>
    <w:p w14:paraId="1E62B5AB"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26DD89E0" w14:textId="77777777">
        <w:tc>
          <w:tcPr>
            <w:tcW w:w="720" w:type="dxa"/>
            <w:noWrap/>
            <w:tcMar>
              <w:right w:w="80" w:type="dxa"/>
            </w:tcMar>
          </w:tcPr>
          <w:p w14:paraId="4BE02681" w14:textId="77777777" w:rsidR="0028101B" w:rsidRDefault="00D446B3">
            <w:pPr>
              <w:rPr>
                <w:sz w:val="22"/>
              </w:rPr>
            </w:pPr>
            <w:r>
              <w:rPr>
                <w:sz w:val="22"/>
              </w:rPr>
              <w:t>(6)</w:t>
            </w:r>
          </w:p>
        </w:tc>
        <w:tc>
          <w:tcPr>
            <w:tcW w:w="0" w:type="auto"/>
            <w:tcMar>
              <w:right w:w="80" w:type="dxa"/>
            </w:tcMar>
          </w:tcPr>
          <w:p w14:paraId="71320458" w14:textId="77777777" w:rsidR="0028101B" w:rsidRDefault="00D446B3">
            <w:pPr>
              <w:rPr>
                <w:sz w:val="22"/>
              </w:rPr>
            </w:pPr>
            <w:proofErr w:type="spellStart"/>
            <w:r>
              <w:rPr>
                <w:sz w:val="22"/>
              </w:rPr>
              <w:t>Spiros</w:t>
            </w:r>
            <w:proofErr w:type="spellEnd"/>
            <w:r>
              <w:rPr>
                <w:sz w:val="22"/>
              </w:rPr>
              <w:t xml:space="preserve"> styre besto på oppstartstidspunktet av styreleder E og styremedlemmene F og G. F var samtidig daglig leder. I ble valgt inn i styret i 2013 for å styrke </w:t>
            </w:r>
            <w:proofErr w:type="spellStart"/>
            <w:r>
              <w:rPr>
                <w:sz w:val="22"/>
              </w:rPr>
              <w:t>Spiros</w:t>
            </w:r>
            <w:proofErr w:type="spellEnd"/>
            <w:r>
              <w:rPr>
                <w:sz w:val="22"/>
              </w:rPr>
              <w:t xml:space="preserve"> kompetanse innen økonomi og egenkapitalfinansiering. H, sønn av F, kom også inn i styret i 2013 – dels på bakgrunn av et ønske om å sikre [familien F og H] kontinuitet i selskapet og dels på grunn av hans erfaring fra andre styreverv, internasjonalt arbeid med videre.</w:t>
            </w:r>
          </w:p>
        </w:tc>
      </w:tr>
    </w:tbl>
    <w:p w14:paraId="1BFF0B0D" w14:textId="77777777" w:rsidR="0028101B" w:rsidRDefault="0028101B">
      <w:pPr>
        <w:rPr>
          <w:sz w:val="6"/>
        </w:rPr>
      </w:pPr>
    </w:p>
    <w:p w14:paraId="2257BFCD"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ACF8595" w14:textId="77777777">
        <w:tc>
          <w:tcPr>
            <w:tcW w:w="720" w:type="dxa"/>
            <w:noWrap/>
            <w:tcMar>
              <w:right w:w="80" w:type="dxa"/>
            </w:tcMar>
          </w:tcPr>
          <w:p w14:paraId="1B65D94B" w14:textId="77777777" w:rsidR="0028101B" w:rsidRDefault="00D446B3">
            <w:pPr>
              <w:rPr>
                <w:sz w:val="22"/>
              </w:rPr>
            </w:pPr>
            <w:r>
              <w:rPr>
                <w:sz w:val="22"/>
              </w:rPr>
              <w:t>(7)</w:t>
            </w:r>
          </w:p>
        </w:tc>
        <w:tc>
          <w:tcPr>
            <w:tcW w:w="0" w:type="auto"/>
            <w:tcMar>
              <w:right w:w="80" w:type="dxa"/>
            </w:tcMar>
          </w:tcPr>
          <w:p w14:paraId="2D4DC01B" w14:textId="77777777" w:rsidR="0028101B" w:rsidRDefault="00D446B3">
            <w:pPr>
              <w:rPr>
                <w:sz w:val="22"/>
              </w:rPr>
            </w:pPr>
            <w:r>
              <w:rPr>
                <w:sz w:val="22"/>
              </w:rPr>
              <w:t xml:space="preserve">A har etablert, eier og representerer selskapet H.M. </w:t>
            </w:r>
            <w:proofErr w:type="spellStart"/>
            <w:r>
              <w:rPr>
                <w:sz w:val="22"/>
              </w:rPr>
              <w:t>Structures</w:t>
            </w:r>
            <w:proofErr w:type="spellEnd"/>
            <w:r>
              <w:rPr>
                <w:sz w:val="22"/>
              </w:rPr>
              <w:t xml:space="preserve"> Ltd., som hovedsakelig investerer i børsnoterte selskaper. Før dette arbeidet han i en årrekke i finanssektoren. J hadde vært ansatt i oljebransjen og var daglig leder i ECO Securities inntil sin død. D er siviløkonom med lang yrkeserfaring innen fiskeoppdrett og shipping. Han er As far.</w:t>
            </w:r>
          </w:p>
        </w:tc>
      </w:tr>
    </w:tbl>
    <w:p w14:paraId="26445A54" w14:textId="77777777" w:rsidR="0028101B" w:rsidRDefault="0028101B">
      <w:pPr>
        <w:rPr>
          <w:sz w:val="6"/>
        </w:rPr>
      </w:pPr>
    </w:p>
    <w:p w14:paraId="274A2102"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F1A5BBA" w14:textId="77777777">
        <w:tc>
          <w:tcPr>
            <w:tcW w:w="720" w:type="dxa"/>
            <w:noWrap/>
            <w:tcMar>
              <w:right w:w="80" w:type="dxa"/>
            </w:tcMar>
          </w:tcPr>
          <w:p w14:paraId="61E1110E" w14:textId="77777777" w:rsidR="0028101B" w:rsidRDefault="00D446B3">
            <w:pPr>
              <w:rPr>
                <w:sz w:val="22"/>
              </w:rPr>
            </w:pPr>
            <w:r>
              <w:rPr>
                <w:sz w:val="22"/>
              </w:rPr>
              <w:t>(8)</w:t>
            </w:r>
          </w:p>
        </w:tc>
        <w:tc>
          <w:tcPr>
            <w:tcW w:w="0" w:type="auto"/>
            <w:tcMar>
              <w:right w:w="80" w:type="dxa"/>
            </w:tcMar>
          </w:tcPr>
          <w:p w14:paraId="1258434B" w14:textId="77777777" w:rsidR="0028101B" w:rsidRDefault="00D446B3">
            <w:pPr>
              <w:rPr>
                <w:sz w:val="22"/>
              </w:rPr>
            </w:pPr>
            <w:r>
              <w:rPr>
                <w:sz w:val="22"/>
              </w:rPr>
              <w:t>I 2012 fikk A</w:t>
            </w:r>
            <w:r>
              <w:rPr>
                <w:sz w:val="22"/>
              </w:rPr>
              <w:t xml:space="preserve"> via sin far forespørsel om å investere i </w:t>
            </w:r>
            <w:proofErr w:type="spellStart"/>
            <w:r>
              <w:rPr>
                <w:sz w:val="22"/>
              </w:rPr>
              <w:t>Spiro</w:t>
            </w:r>
            <w:proofErr w:type="spellEnd"/>
            <w:r>
              <w:rPr>
                <w:sz w:val="22"/>
              </w:rPr>
              <w:t>. Han fikk tilsendt en del informasjon etter at det var inngått en Non-</w:t>
            </w:r>
            <w:proofErr w:type="spellStart"/>
            <w:r>
              <w:rPr>
                <w:sz w:val="22"/>
              </w:rPr>
              <w:t>Disclosure</w:t>
            </w:r>
            <w:proofErr w:type="spellEnd"/>
            <w:r>
              <w:rPr>
                <w:sz w:val="22"/>
              </w:rPr>
              <w:t xml:space="preserve"> Agreement (NDA) og drøftet denne med sin venn C og J. Det ble ikke tegnet aksjer i selskapet, da den tekniske risikoen knyttet til utviklingen av produktet ble vurdert å være for høy.</w:t>
            </w:r>
          </w:p>
        </w:tc>
      </w:tr>
    </w:tbl>
    <w:p w14:paraId="113DD35A" w14:textId="77777777" w:rsidR="0028101B" w:rsidRDefault="0028101B">
      <w:pPr>
        <w:rPr>
          <w:sz w:val="6"/>
        </w:rPr>
      </w:pPr>
    </w:p>
    <w:p w14:paraId="0BE1E2F0"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0C1FF71" w14:textId="77777777">
        <w:tc>
          <w:tcPr>
            <w:tcW w:w="720" w:type="dxa"/>
            <w:noWrap/>
            <w:tcMar>
              <w:right w:w="80" w:type="dxa"/>
            </w:tcMar>
          </w:tcPr>
          <w:p w14:paraId="73CBD059" w14:textId="77777777" w:rsidR="0028101B" w:rsidRDefault="00D446B3">
            <w:pPr>
              <w:rPr>
                <w:sz w:val="22"/>
              </w:rPr>
            </w:pPr>
            <w:r>
              <w:rPr>
                <w:sz w:val="22"/>
              </w:rPr>
              <w:t>(9)</w:t>
            </w:r>
          </w:p>
        </w:tc>
        <w:tc>
          <w:tcPr>
            <w:tcW w:w="0" w:type="auto"/>
            <w:tcMar>
              <w:right w:w="80" w:type="dxa"/>
            </w:tcMar>
          </w:tcPr>
          <w:p w14:paraId="6D04EB41" w14:textId="77777777" w:rsidR="0028101B" w:rsidRDefault="00D446B3">
            <w:pPr>
              <w:rPr>
                <w:sz w:val="22"/>
              </w:rPr>
            </w:pPr>
            <w:r>
              <w:rPr>
                <w:sz w:val="22"/>
              </w:rPr>
              <w:t xml:space="preserve">Driften av </w:t>
            </w:r>
            <w:proofErr w:type="spellStart"/>
            <w:r>
              <w:rPr>
                <w:sz w:val="22"/>
              </w:rPr>
              <w:t>Spiro</w:t>
            </w:r>
            <w:proofErr w:type="spellEnd"/>
            <w:r>
              <w:rPr>
                <w:sz w:val="22"/>
              </w:rPr>
              <w:t xml:space="preserve"> var hovedsakelig finansiert ved lån fra hovedaksjonærene </w:t>
            </w:r>
            <w:proofErr w:type="spellStart"/>
            <w:r>
              <w:rPr>
                <w:sz w:val="22"/>
              </w:rPr>
              <w:t>Eurosleep</w:t>
            </w:r>
            <w:proofErr w:type="spellEnd"/>
            <w:r>
              <w:rPr>
                <w:sz w:val="22"/>
              </w:rPr>
              <w:t xml:space="preserve"> </w:t>
            </w:r>
            <w:proofErr w:type="spellStart"/>
            <w:r>
              <w:rPr>
                <w:sz w:val="22"/>
              </w:rPr>
              <w:t>Holding</w:t>
            </w:r>
            <w:proofErr w:type="spellEnd"/>
            <w:r>
              <w:rPr>
                <w:sz w:val="22"/>
              </w:rPr>
              <w:t xml:space="preserve"> og </w:t>
            </w:r>
            <w:r>
              <w:rPr>
                <w:sz w:val="22"/>
              </w:rPr>
              <w:lastRenderedPageBreak/>
              <w:t xml:space="preserve">[virksomhet] AS. I mai 2014 utgjorde aksjonærlånene 6 900 000 kroner, hvorav </w:t>
            </w:r>
            <w:proofErr w:type="spellStart"/>
            <w:r>
              <w:rPr>
                <w:sz w:val="22"/>
              </w:rPr>
              <w:t>Eurosleep</w:t>
            </w:r>
            <w:proofErr w:type="spellEnd"/>
            <w:r>
              <w:rPr>
                <w:sz w:val="22"/>
              </w:rPr>
              <w:t xml:space="preserve"> </w:t>
            </w:r>
            <w:proofErr w:type="spellStart"/>
            <w:r>
              <w:rPr>
                <w:sz w:val="22"/>
              </w:rPr>
              <w:t>Holdings</w:t>
            </w:r>
            <w:proofErr w:type="spellEnd"/>
            <w:r>
              <w:rPr>
                <w:sz w:val="22"/>
              </w:rPr>
              <w:t xml:space="preserve"> andel var 6 800 000 kroner og [virksomhet] AS' andel var 100 000 kroner. Lånerenten var 10 prosent som ikke ble fakturert. </w:t>
            </w:r>
            <w:proofErr w:type="spellStart"/>
            <w:r>
              <w:rPr>
                <w:sz w:val="22"/>
              </w:rPr>
              <w:t>Spiros</w:t>
            </w:r>
            <w:proofErr w:type="spellEnd"/>
            <w:r>
              <w:rPr>
                <w:sz w:val="22"/>
              </w:rPr>
              <w:t xml:space="preserve"> samlede forpliktelse til aksjonærene utgjorde 7 380 552 kroner.</w:t>
            </w:r>
          </w:p>
        </w:tc>
      </w:tr>
    </w:tbl>
    <w:p w14:paraId="5D71825E" w14:textId="77777777" w:rsidR="0028101B" w:rsidRDefault="0028101B">
      <w:pPr>
        <w:rPr>
          <w:sz w:val="6"/>
        </w:rPr>
      </w:pPr>
    </w:p>
    <w:p w14:paraId="66A334C6"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229ED2BE" w14:textId="77777777">
        <w:tc>
          <w:tcPr>
            <w:tcW w:w="720" w:type="dxa"/>
            <w:noWrap/>
            <w:tcMar>
              <w:right w:w="80" w:type="dxa"/>
            </w:tcMar>
          </w:tcPr>
          <w:p w14:paraId="1E2C8DF6" w14:textId="77777777" w:rsidR="0028101B" w:rsidRDefault="00D446B3">
            <w:pPr>
              <w:rPr>
                <w:sz w:val="22"/>
              </w:rPr>
            </w:pPr>
            <w:r>
              <w:rPr>
                <w:sz w:val="22"/>
              </w:rPr>
              <w:t>(10)</w:t>
            </w:r>
          </w:p>
        </w:tc>
        <w:tc>
          <w:tcPr>
            <w:tcW w:w="0" w:type="auto"/>
            <w:tcMar>
              <w:right w:w="80" w:type="dxa"/>
            </w:tcMar>
          </w:tcPr>
          <w:p w14:paraId="2E4EDDC6" w14:textId="77777777" w:rsidR="0028101B" w:rsidRDefault="00D446B3">
            <w:pPr>
              <w:rPr>
                <w:sz w:val="22"/>
              </w:rPr>
            </w:pPr>
            <w:r>
              <w:rPr>
                <w:sz w:val="22"/>
              </w:rPr>
              <w:t xml:space="preserve">Sommeren og høsten 2014 hadde </w:t>
            </w:r>
            <w:proofErr w:type="spellStart"/>
            <w:r>
              <w:rPr>
                <w:sz w:val="22"/>
              </w:rPr>
              <w:t>Spiro</w:t>
            </w:r>
            <w:proofErr w:type="spellEnd"/>
            <w:r>
              <w:rPr>
                <w:sz w:val="22"/>
              </w:rPr>
              <w:t xml:space="preserve"> behov for ny egenkapital. Selskapet hadde i 2013 et driftsresultat på i underkant av minus 4 millioner kroner, og negativ egenkapital var på i underkant av 3,75 millioner kroner. I anbefalte selskapet å benytte en finansiell rådgiver og formidlet i mai 2014 kontakt med Norne Securities AS (Norne).</w:t>
            </w:r>
          </w:p>
        </w:tc>
      </w:tr>
    </w:tbl>
    <w:p w14:paraId="42078662" w14:textId="77777777" w:rsidR="0028101B" w:rsidRDefault="0028101B">
      <w:pPr>
        <w:rPr>
          <w:sz w:val="6"/>
        </w:rPr>
      </w:pPr>
    </w:p>
    <w:p w14:paraId="35BB42C1"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64BE76E" w14:textId="77777777">
        <w:tc>
          <w:tcPr>
            <w:tcW w:w="720" w:type="dxa"/>
            <w:noWrap/>
            <w:tcMar>
              <w:right w:w="80" w:type="dxa"/>
            </w:tcMar>
          </w:tcPr>
          <w:p w14:paraId="6BFCC831" w14:textId="77777777" w:rsidR="0028101B" w:rsidRDefault="00D446B3">
            <w:pPr>
              <w:rPr>
                <w:sz w:val="22"/>
              </w:rPr>
            </w:pPr>
            <w:r>
              <w:rPr>
                <w:sz w:val="22"/>
              </w:rPr>
              <w:t>(11)</w:t>
            </w:r>
          </w:p>
        </w:tc>
        <w:tc>
          <w:tcPr>
            <w:tcW w:w="0" w:type="auto"/>
            <w:tcMar>
              <w:right w:w="80" w:type="dxa"/>
            </w:tcMar>
          </w:tcPr>
          <w:p w14:paraId="5B98F716" w14:textId="77777777" w:rsidR="0028101B" w:rsidRDefault="00D446B3">
            <w:pPr>
              <w:rPr>
                <w:sz w:val="22"/>
              </w:rPr>
            </w:pPr>
            <w:r>
              <w:rPr>
                <w:sz w:val="22"/>
              </w:rPr>
              <w:t xml:space="preserve">Norne utarbeidet våren og sommeren 2014 en presentasjon av selskapet for mulige investorer og henvendte seg til flere uten at det var avklart om disse ville tegne seg i en rettet emisjon. F henvendte seg i juni 2014 igjen til A med presentasjonen av </w:t>
            </w:r>
            <w:proofErr w:type="spellStart"/>
            <w:r>
              <w:rPr>
                <w:sz w:val="22"/>
              </w:rPr>
              <w:t>Spiro</w:t>
            </w:r>
            <w:proofErr w:type="spellEnd"/>
            <w:r>
              <w:rPr>
                <w:sz w:val="22"/>
              </w:rPr>
              <w:t xml:space="preserve">, og det ble deretter utvekslet en rekke e-poster med spørsmål og svar. Det ble også avholdt et møte i Bergen 1. august 2014, der en oppdatert presentasjon, som blant annet inneholdt en rekke opplysninger om produktet, ble gjennomgått. H.M. </w:t>
            </w:r>
            <w:proofErr w:type="spellStart"/>
            <w:r>
              <w:rPr>
                <w:sz w:val="22"/>
              </w:rPr>
              <w:t>Structures</w:t>
            </w:r>
            <w:proofErr w:type="spellEnd"/>
            <w:r>
              <w:rPr>
                <w:sz w:val="22"/>
              </w:rPr>
              <w:t xml:space="preserve"> Ltd. ved A, D, B og C bestemte seg deretter for å tegne aksjer i selskapet.</w:t>
            </w:r>
          </w:p>
        </w:tc>
      </w:tr>
    </w:tbl>
    <w:p w14:paraId="78FA11AB" w14:textId="77777777" w:rsidR="0028101B" w:rsidRDefault="0028101B">
      <w:pPr>
        <w:rPr>
          <w:sz w:val="6"/>
        </w:rPr>
      </w:pPr>
    </w:p>
    <w:p w14:paraId="2C84BB7E"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1EAEFDA" w14:textId="77777777">
        <w:tc>
          <w:tcPr>
            <w:tcW w:w="720" w:type="dxa"/>
            <w:noWrap/>
            <w:tcMar>
              <w:right w:w="80" w:type="dxa"/>
            </w:tcMar>
          </w:tcPr>
          <w:p w14:paraId="7B1999AD" w14:textId="77777777" w:rsidR="0028101B" w:rsidRDefault="00D446B3">
            <w:pPr>
              <w:rPr>
                <w:sz w:val="22"/>
              </w:rPr>
            </w:pPr>
            <w:r>
              <w:rPr>
                <w:sz w:val="22"/>
              </w:rPr>
              <w:t>(12)</w:t>
            </w:r>
          </w:p>
        </w:tc>
        <w:tc>
          <w:tcPr>
            <w:tcW w:w="0" w:type="auto"/>
            <w:tcMar>
              <w:right w:w="80" w:type="dxa"/>
            </w:tcMar>
          </w:tcPr>
          <w:p w14:paraId="202977F0" w14:textId="77777777" w:rsidR="0028101B" w:rsidRDefault="00D446B3">
            <w:pPr>
              <w:rPr>
                <w:sz w:val="22"/>
              </w:rPr>
            </w:pPr>
            <w:r>
              <w:rPr>
                <w:sz w:val="22"/>
              </w:rPr>
              <w:t xml:space="preserve">Det ble inngått en investeringsavtale og en aksjonæravtale samtidig som det på ekstraordinær generalforsamling 22. august 2014 ble gjennomført en rettet emisjon. H.M. </w:t>
            </w:r>
            <w:proofErr w:type="spellStart"/>
            <w:r>
              <w:rPr>
                <w:sz w:val="22"/>
              </w:rPr>
              <w:t>Structures</w:t>
            </w:r>
            <w:proofErr w:type="spellEnd"/>
            <w:r>
              <w:rPr>
                <w:sz w:val="22"/>
              </w:rPr>
              <w:t xml:space="preserve"> Ltd. tegnet seg for 3215 aksjer for 11 998 380 kroner, B tegnet seg for 331 aksjer for 1 235 292 kroner, C tegnet seg for 165 aksjer for 615 780 kroner og D tegnet seg for 67 aksjer for 250 044 kroner.</w:t>
            </w:r>
          </w:p>
        </w:tc>
      </w:tr>
    </w:tbl>
    <w:p w14:paraId="5D006AD7" w14:textId="77777777" w:rsidR="0028101B" w:rsidRDefault="0028101B">
      <w:pPr>
        <w:rPr>
          <w:sz w:val="6"/>
        </w:rPr>
      </w:pPr>
    </w:p>
    <w:p w14:paraId="740FA2A1"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4F956D0" w14:textId="77777777">
        <w:tc>
          <w:tcPr>
            <w:tcW w:w="720" w:type="dxa"/>
            <w:noWrap/>
            <w:tcMar>
              <w:right w:w="80" w:type="dxa"/>
            </w:tcMar>
          </w:tcPr>
          <w:p w14:paraId="16DEE33E" w14:textId="77777777" w:rsidR="0028101B" w:rsidRDefault="00D446B3">
            <w:pPr>
              <w:rPr>
                <w:sz w:val="22"/>
              </w:rPr>
            </w:pPr>
            <w:r>
              <w:rPr>
                <w:sz w:val="22"/>
              </w:rPr>
              <w:t>(13)</w:t>
            </w:r>
          </w:p>
        </w:tc>
        <w:tc>
          <w:tcPr>
            <w:tcW w:w="0" w:type="auto"/>
            <w:tcMar>
              <w:right w:w="80" w:type="dxa"/>
            </w:tcMar>
          </w:tcPr>
          <w:p w14:paraId="7FC07299" w14:textId="77777777" w:rsidR="0028101B" w:rsidRDefault="00D446B3">
            <w:pPr>
              <w:rPr>
                <w:sz w:val="22"/>
              </w:rPr>
            </w:pPr>
            <w:r>
              <w:rPr>
                <w:sz w:val="22"/>
              </w:rPr>
              <w:t>Investorene er dels i familie og har dels hatt lange relasjoner med hverandre. I forkant av emisjonen deltok J aktivt med å kartlegge og vurdere investeringen. I rettsprosessen har de opptrådt samlet som en gruppe, og de anser seg som profesjonelle investorer uavhengig av om de regulatorisk kan kategoriseres som dette.</w:t>
            </w:r>
          </w:p>
        </w:tc>
      </w:tr>
    </w:tbl>
    <w:p w14:paraId="3C842D86" w14:textId="77777777" w:rsidR="0028101B" w:rsidRDefault="0028101B">
      <w:pPr>
        <w:rPr>
          <w:sz w:val="6"/>
        </w:rPr>
      </w:pPr>
    </w:p>
    <w:p w14:paraId="35D33DDB"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8581F0A" w14:textId="77777777">
        <w:tc>
          <w:tcPr>
            <w:tcW w:w="720" w:type="dxa"/>
            <w:noWrap/>
            <w:tcMar>
              <w:right w:w="80" w:type="dxa"/>
            </w:tcMar>
          </w:tcPr>
          <w:p w14:paraId="03F8BBAD" w14:textId="77777777" w:rsidR="0028101B" w:rsidRDefault="00D446B3">
            <w:pPr>
              <w:rPr>
                <w:sz w:val="22"/>
              </w:rPr>
            </w:pPr>
            <w:r>
              <w:rPr>
                <w:sz w:val="22"/>
              </w:rPr>
              <w:t>(14)</w:t>
            </w:r>
          </w:p>
        </w:tc>
        <w:tc>
          <w:tcPr>
            <w:tcW w:w="0" w:type="auto"/>
            <w:tcMar>
              <w:right w:w="80" w:type="dxa"/>
            </w:tcMar>
          </w:tcPr>
          <w:p w14:paraId="78448967" w14:textId="77777777" w:rsidR="0028101B" w:rsidRDefault="00D446B3">
            <w:pPr>
              <w:rPr>
                <w:sz w:val="22"/>
              </w:rPr>
            </w:pPr>
            <w:r>
              <w:rPr>
                <w:sz w:val="22"/>
              </w:rPr>
              <w:t>I forbindelse med emisjonen ble det valgt nytt styre. G fratrådte, og K, utpekt av investorene, ble innvalgt i styret.</w:t>
            </w:r>
          </w:p>
        </w:tc>
      </w:tr>
    </w:tbl>
    <w:p w14:paraId="67ABAEC1" w14:textId="77777777" w:rsidR="0028101B" w:rsidRDefault="0028101B">
      <w:pPr>
        <w:rPr>
          <w:sz w:val="6"/>
        </w:rPr>
      </w:pPr>
    </w:p>
    <w:p w14:paraId="405C0026"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479D52B8" w14:textId="77777777">
        <w:tc>
          <w:tcPr>
            <w:tcW w:w="720" w:type="dxa"/>
            <w:noWrap/>
            <w:tcMar>
              <w:right w:w="80" w:type="dxa"/>
            </w:tcMar>
          </w:tcPr>
          <w:p w14:paraId="247E8A12" w14:textId="77777777" w:rsidR="0028101B" w:rsidRDefault="00D446B3">
            <w:pPr>
              <w:rPr>
                <w:sz w:val="22"/>
              </w:rPr>
            </w:pPr>
            <w:r>
              <w:rPr>
                <w:sz w:val="22"/>
              </w:rPr>
              <w:t>(15)</w:t>
            </w:r>
          </w:p>
        </w:tc>
        <w:tc>
          <w:tcPr>
            <w:tcW w:w="0" w:type="auto"/>
            <w:tcMar>
              <w:right w:w="80" w:type="dxa"/>
            </w:tcMar>
          </w:tcPr>
          <w:p w14:paraId="2583AD55" w14:textId="77777777" w:rsidR="0028101B" w:rsidRDefault="00D446B3">
            <w:pPr>
              <w:rPr>
                <w:sz w:val="22"/>
              </w:rPr>
            </w:pPr>
            <w:r>
              <w:rPr>
                <w:sz w:val="22"/>
              </w:rPr>
              <w:t xml:space="preserve">Investorene begynte kort tid etter emisjonen å stille spørsmål ved situasjonen i </w:t>
            </w:r>
            <w:proofErr w:type="spellStart"/>
            <w:r>
              <w:rPr>
                <w:sz w:val="22"/>
              </w:rPr>
              <w:t>Spiro</w:t>
            </w:r>
            <w:proofErr w:type="spellEnd"/>
            <w:r>
              <w:rPr>
                <w:sz w:val="22"/>
              </w:rPr>
              <w:t xml:space="preserve"> og om produktutviklingen. Ferdigstillelsen og salget av produktet ble forsinket, og det oppsto diskusjoner og uenighet mellom partene. Investorene tilførte ikke ytterlige kapital til selskapet, og konkurs ble åpnet etter oppbudsbegjæring 20. september 2017.</w:t>
            </w:r>
          </w:p>
        </w:tc>
      </w:tr>
    </w:tbl>
    <w:p w14:paraId="797B4990" w14:textId="77777777" w:rsidR="0028101B" w:rsidRDefault="0028101B">
      <w:pPr>
        <w:rPr>
          <w:sz w:val="22"/>
        </w:rPr>
      </w:pPr>
      <w:bookmarkStart w:id="3" w:name="KAPITTEL_2"/>
      <w:bookmarkEnd w:id="2"/>
    </w:p>
    <w:p w14:paraId="09C208A9" w14:textId="77777777" w:rsidR="0028101B" w:rsidRDefault="0028101B">
      <w:pPr>
        <w:rPr>
          <w:sz w:val="22"/>
        </w:rPr>
      </w:pPr>
    </w:p>
    <w:p w14:paraId="73D2EBDF" w14:textId="77777777" w:rsidR="0028101B" w:rsidRDefault="0028101B">
      <w:pPr>
        <w:rPr>
          <w:sz w:val="22"/>
        </w:rPr>
      </w:pPr>
    </w:p>
    <w:p w14:paraId="7DAFB7DA" w14:textId="77777777" w:rsidR="0028101B" w:rsidRDefault="00D446B3">
      <w:pPr>
        <w:pStyle w:val="Overskrift2"/>
        <w:spacing w:before="0" w:after="0"/>
      </w:pPr>
      <w:r>
        <w:t>Prosesshistorien</w:t>
      </w:r>
    </w:p>
    <w:p w14:paraId="592D317C"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E85737F" w14:textId="77777777">
        <w:tc>
          <w:tcPr>
            <w:tcW w:w="720" w:type="dxa"/>
            <w:noWrap/>
            <w:tcMar>
              <w:right w:w="80" w:type="dxa"/>
            </w:tcMar>
          </w:tcPr>
          <w:p w14:paraId="35D055AA" w14:textId="77777777" w:rsidR="0028101B" w:rsidRDefault="00D446B3">
            <w:pPr>
              <w:rPr>
                <w:sz w:val="22"/>
              </w:rPr>
            </w:pPr>
            <w:r>
              <w:rPr>
                <w:sz w:val="22"/>
              </w:rPr>
              <w:t>(16)</w:t>
            </w:r>
          </w:p>
        </w:tc>
        <w:tc>
          <w:tcPr>
            <w:tcW w:w="0" w:type="auto"/>
            <w:tcMar>
              <w:right w:w="80" w:type="dxa"/>
            </w:tcMar>
          </w:tcPr>
          <w:p w14:paraId="147318A7" w14:textId="77777777" w:rsidR="0028101B" w:rsidRDefault="00D446B3">
            <w:pPr>
              <w:rPr>
                <w:sz w:val="22"/>
              </w:rPr>
            </w:pPr>
            <w:r>
              <w:rPr>
                <w:sz w:val="22"/>
              </w:rPr>
              <w:t xml:space="preserve">Investorene tok 25. oktober 2018 ut stevning for Bergen tingrett med krav mot de tidligere styremedlemmene E, F, G, H og I. Ved Bergen tingretts dom 26. april 2020 ble styremedlemmene frifunnet. Sakskostnader ble ikke tilkjent, jf. </w:t>
            </w:r>
            <w:hyperlink r:id="rId9" w:anchor="reference/lov/2005-06-17-90/§20-2" w:history="1">
              <w:r>
                <w:rPr>
                  <w:sz w:val="22"/>
                </w:rPr>
                <w:t>tvisteloven § 20-2</w:t>
              </w:r>
            </w:hyperlink>
            <w:r>
              <w:rPr>
                <w:sz w:val="22"/>
              </w:rPr>
              <w:t xml:space="preserve"> tredje ledd.</w:t>
            </w:r>
          </w:p>
        </w:tc>
      </w:tr>
    </w:tbl>
    <w:p w14:paraId="00AC84CA" w14:textId="77777777" w:rsidR="0028101B" w:rsidRDefault="0028101B">
      <w:pPr>
        <w:rPr>
          <w:sz w:val="6"/>
        </w:rPr>
      </w:pPr>
    </w:p>
    <w:p w14:paraId="756EEEF4"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1CB2DA9" w14:textId="77777777">
        <w:tc>
          <w:tcPr>
            <w:tcW w:w="720" w:type="dxa"/>
            <w:noWrap/>
            <w:tcMar>
              <w:right w:w="80" w:type="dxa"/>
            </w:tcMar>
          </w:tcPr>
          <w:p w14:paraId="3BD201F9" w14:textId="77777777" w:rsidR="0028101B" w:rsidRDefault="00D446B3">
            <w:pPr>
              <w:rPr>
                <w:sz w:val="22"/>
              </w:rPr>
            </w:pPr>
            <w:r>
              <w:rPr>
                <w:sz w:val="22"/>
              </w:rPr>
              <w:t>(17)</w:t>
            </w:r>
          </w:p>
        </w:tc>
        <w:tc>
          <w:tcPr>
            <w:tcW w:w="0" w:type="auto"/>
            <w:tcMar>
              <w:right w:w="80" w:type="dxa"/>
            </w:tcMar>
          </w:tcPr>
          <w:p w14:paraId="02A29217" w14:textId="77777777" w:rsidR="0028101B" w:rsidRDefault="00D446B3">
            <w:pPr>
              <w:rPr>
                <w:sz w:val="22"/>
              </w:rPr>
            </w:pPr>
            <w:r>
              <w:rPr>
                <w:sz w:val="22"/>
              </w:rPr>
              <w:t xml:space="preserve">Tingretten kom til at det ikke forelå brudd på styremedlemmenes informasjonsplikt. Retten var riktignok i tvil når det gjaldt opplysningene som ble gitt om kateteret, som er en viktig del av produktet </w:t>
            </w:r>
            <w:proofErr w:type="spellStart"/>
            <w:r>
              <w:rPr>
                <w:sz w:val="22"/>
              </w:rPr>
              <w:t>ApneaGraph</w:t>
            </w:r>
            <w:proofErr w:type="spellEnd"/>
            <w:r>
              <w:rPr>
                <w:sz w:val="22"/>
              </w:rPr>
              <w:t xml:space="preserve"> </w:t>
            </w:r>
            <w:proofErr w:type="spellStart"/>
            <w:r>
              <w:rPr>
                <w:sz w:val="22"/>
              </w:rPr>
              <w:t>Spiro</w:t>
            </w:r>
            <w:proofErr w:type="spellEnd"/>
            <w:r>
              <w:rPr>
                <w:sz w:val="22"/>
              </w:rPr>
              <w:t xml:space="preserve">, men konkluderte med at opplysningene skyldtes en faglig feilvurdering fra Es side, og at den informasjonen som ble gitt investorene ikke var uriktig basert på det </w:t>
            </w:r>
            <w:proofErr w:type="spellStart"/>
            <w:r>
              <w:rPr>
                <w:sz w:val="22"/>
              </w:rPr>
              <w:t>Spiro</w:t>
            </w:r>
            <w:proofErr w:type="spellEnd"/>
            <w:r>
              <w:rPr>
                <w:sz w:val="22"/>
              </w:rPr>
              <w:t xml:space="preserve"> og E faktisk visste før kapitalutvidelsen.</w:t>
            </w:r>
          </w:p>
        </w:tc>
      </w:tr>
    </w:tbl>
    <w:p w14:paraId="5AA373CD" w14:textId="77777777" w:rsidR="0028101B" w:rsidRDefault="0028101B">
      <w:pPr>
        <w:rPr>
          <w:sz w:val="6"/>
        </w:rPr>
      </w:pPr>
    </w:p>
    <w:p w14:paraId="4B9E7449"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28101B" w14:paraId="613A41CC" w14:textId="77777777">
        <w:tc>
          <w:tcPr>
            <w:tcW w:w="720" w:type="dxa"/>
            <w:noWrap/>
            <w:tcMar>
              <w:right w:w="80" w:type="dxa"/>
            </w:tcMar>
          </w:tcPr>
          <w:p w14:paraId="18DFF52E" w14:textId="77777777" w:rsidR="0028101B" w:rsidRDefault="00D446B3">
            <w:pPr>
              <w:rPr>
                <w:sz w:val="22"/>
              </w:rPr>
            </w:pPr>
            <w:r>
              <w:rPr>
                <w:sz w:val="22"/>
              </w:rPr>
              <w:t>(18)</w:t>
            </w:r>
          </w:p>
        </w:tc>
        <w:tc>
          <w:tcPr>
            <w:tcW w:w="0" w:type="auto"/>
            <w:tcMar>
              <w:right w:w="80" w:type="dxa"/>
            </w:tcMar>
          </w:tcPr>
          <w:p w14:paraId="62CDA553" w14:textId="77777777" w:rsidR="0028101B" w:rsidRDefault="00D446B3">
            <w:pPr>
              <w:rPr>
                <w:sz w:val="6"/>
              </w:rPr>
            </w:pPr>
            <w:r>
              <w:rPr>
                <w:sz w:val="22"/>
              </w:rPr>
              <w:t>Investorene anket til lagmannsretten. Gulating lagmannsrett avsa 14. desember 2021 dom med slik domsslutning:</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7CB97A62" w14:textId="77777777">
              <w:tc>
                <w:tcPr>
                  <w:tcW w:w="1440" w:type="dxa"/>
                  <w:noWrap/>
                  <w:tcMar>
                    <w:right w:w="80" w:type="dxa"/>
                  </w:tcMar>
                </w:tcPr>
                <w:p w14:paraId="064C432A" w14:textId="77777777" w:rsidR="0028101B" w:rsidRDefault="00D446B3">
                  <w:pPr>
                    <w:jc w:val="right"/>
                    <w:rPr>
                      <w:sz w:val="22"/>
                    </w:rPr>
                  </w:pPr>
                  <w:r>
                    <w:rPr>
                      <w:sz w:val="22"/>
                    </w:rPr>
                    <w:t>«1.</w:t>
                  </w:r>
                </w:p>
              </w:tc>
              <w:tc>
                <w:tcPr>
                  <w:tcW w:w="8066" w:type="dxa"/>
                  <w:noWrap/>
                  <w:tcMar>
                    <w:right w:w="80" w:type="dxa"/>
                  </w:tcMar>
                </w:tcPr>
                <w:p w14:paraId="36B945DA" w14:textId="77777777" w:rsidR="0028101B" w:rsidRDefault="00D446B3">
                  <w:pPr>
                    <w:rPr>
                      <w:sz w:val="22"/>
                    </w:rPr>
                  </w:pPr>
                  <w:r>
                    <w:rPr>
                      <w:sz w:val="22"/>
                    </w:rPr>
                    <w:t xml:space="preserve">F og E dømmes in </w:t>
                  </w:r>
                  <w:proofErr w:type="spellStart"/>
                  <w:r>
                    <w:rPr>
                      <w:sz w:val="22"/>
                    </w:rPr>
                    <w:t>solidum</w:t>
                  </w:r>
                  <w:proofErr w:type="spellEnd"/>
                  <w:r>
                    <w:rPr>
                      <w:sz w:val="22"/>
                    </w:rPr>
                    <w:t xml:space="preserve"> til å betale erstatning til H.M. </w:t>
                  </w:r>
                  <w:proofErr w:type="spellStart"/>
                  <w:r>
                    <w:rPr>
                      <w:sz w:val="22"/>
                    </w:rPr>
                    <w:t>Structures</w:t>
                  </w:r>
                  <w:proofErr w:type="spellEnd"/>
                  <w:r>
                    <w:rPr>
                      <w:sz w:val="22"/>
                    </w:rPr>
                    <w:t xml:space="preserve"> Ltd. v/ A med 6 000 000 – seksmillioner – kroner, med tillegg av lovens forsinkelsesrente fra 21. april 2016.</w:t>
                  </w:r>
                </w:p>
              </w:tc>
            </w:tr>
          </w:tbl>
          <w:p w14:paraId="7298F8A9" w14:textId="77777777" w:rsidR="0028101B" w:rsidRDefault="0028101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1D4845BA" w14:textId="77777777">
              <w:tc>
                <w:tcPr>
                  <w:tcW w:w="1440" w:type="dxa"/>
                  <w:noWrap/>
                  <w:tcMar>
                    <w:right w:w="80" w:type="dxa"/>
                  </w:tcMar>
                </w:tcPr>
                <w:p w14:paraId="71885D5C" w14:textId="77777777" w:rsidR="0028101B" w:rsidRDefault="00D446B3">
                  <w:pPr>
                    <w:jc w:val="right"/>
                    <w:rPr>
                      <w:sz w:val="22"/>
                    </w:rPr>
                  </w:pPr>
                  <w:r>
                    <w:rPr>
                      <w:sz w:val="22"/>
                    </w:rPr>
                    <w:t>2.</w:t>
                  </w:r>
                </w:p>
              </w:tc>
              <w:tc>
                <w:tcPr>
                  <w:tcW w:w="8066" w:type="dxa"/>
                  <w:noWrap/>
                  <w:tcMar>
                    <w:right w:w="80" w:type="dxa"/>
                  </w:tcMar>
                </w:tcPr>
                <w:p w14:paraId="177276E7" w14:textId="77777777" w:rsidR="0028101B" w:rsidRDefault="00D446B3">
                  <w:pPr>
                    <w:rPr>
                      <w:sz w:val="22"/>
                    </w:rPr>
                  </w:pPr>
                  <w:r>
                    <w:rPr>
                      <w:sz w:val="22"/>
                    </w:rPr>
                    <w:t xml:space="preserve">F og E dømmes in </w:t>
                  </w:r>
                  <w:proofErr w:type="spellStart"/>
                  <w:r>
                    <w:rPr>
                      <w:sz w:val="22"/>
                    </w:rPr>
                    <w:t>solidum</w:t>
                  </w:r>
                  <w:proofErr w:type="spellEnd"/>
                  <w:r>
                    <w:rPr>
                      <w:sz w:val="22"/>
                    </w:rPr>
                    <w:t xml:space="preserve"> til å betale erstatning til D</w:t>
                  </w:r>
                  <w:r>
                    <w:rPr>
                      <w:sz w:val="22"/>
                    </w:rPr>
                    <w:t xml:space="preserve"> med 125 000 – </w:t>
                  </w:r>
                  <w:proofErr w:type="spellStart"/>
                  <w:r>
                    <w:rPr>
                      <w:sz w:val="22"/>
                    </w:rPr>
                    <w:t>etthudreogtjuefemtusen</w:t>
                  </w:r>
                  <w:proofErr w:type="spellEnd"/>
                  <w:r>
                    <w:rPr>
                      <w:sz w:val="22"/>
                    </w:rPr>
                    <w:t xml:space="preserve"> – kroner, med tillegg av forsinkelsesrente fra 21. april 2016.</w:t>
                  </w:r>
                </w:p>
              </w:tc>
            </w:tr>
          </w:tbl>
          <w:p w14:paraId="78A7A0D2" w14:textId="77777777" w:rsidR="0028101B" w:rsidRDefault="0028101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61B236FC" w14:textId="77777777">
              <w:tc>
                <w:tcPr>
                  <w:tcW w:w="1440" w:type="dxa"/>
                  <w:noWrap/>
                  <w:tcMar>
                    <w:right w:w="80" w:type="dxa"/>
                  </w:tcMar>
                </w:tcPr>
                <w:p w14:paraId="51D19797" w14:textId="77777777" w:rsidR="0028101B" w:rsidRDefault="00D446B3">
                  <w:pPr>
                    <w:jc w:val="right"/>
                    <w:rPr>
                      <w:sz w:val="22"/>
                    </w:rPr>
                  </w:pPr>
                  <w:r>
                    <w:rPr>
                      <w:sz w:val="22"/>
                    </w:rPr>
                    <w:t>3.</w:t>
                  </w:r>
                </w:p>
              </w:tc>
              <w:tc>
                <w:tcPr>
                  <w:tcW w:w="8066" w:type="dxa"/>
                  <w:noWrap/>
                  <w:tcMar>
                    <w:right w:w="80" w:type="dxa"/>
                  </w:tcMar>
                </w:tcPr>
                <w:p w14:paraId="70B16D12" w14:textId="77777777" w:rsidR="0028101B" w:rsidRDefault="00D446B3">
                  <w:pPr>
                    <w:rPr>
                      <w:sz w:val="22"/>
                    </w:rPr>
                  </w:pPr>
                  <w:r>
                    <w:rPr>
                      <w:sz w:val="22"/>
                    </w:rPr>
                    <w:t>Anken mot H, G og I forkastes.</w:t>
                  </w:r>
                </w:p>
              </w:tc>
            </w:tr>
          </w:tbl>
          <w:p w14:paraId="0CF44DAC" w14:textId="77777777" w:rsidR="0028101B" w:rsidRDefault="0028101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20AD2E03" w14:textId="77777777">
              <w:tc>
                <w:tcPr>
                  <w:tcW w:w="1440" w:type="dxa"/>
                  <w:noWrap/>
                  <w:tcMar>
                    <w:right w:w="80" w:type="dxa"/>
                  </w:tcMar>
                </w:tcPr>
                <w:p w14:paraId="13547716" w14:textId="77777777" w:rsidR="0028101B" w:rsidRDefault="00D446B3">
                  <w:pPr>
                    <w:jc w:val="right"/>
                    <w:rPr>
                      <w:sz w:val="22"/>
                    </w:rPr>
                  </w:pPr>
                  <w:r>
                    <w:rPr>
                      <w:sz w:val="22"/>
                    </w:rPr>
                    <w:t>4.</w:t>
                  </w:r>
                </w:p>
              </w:tc>
              <w:tc>
                <w:tcPr>
                  <w:tcW w:w="8066" w:type="dxa"/>
                  <w:noWrap/>
                  <w:tcMar>
                    <w:right w:w="80" w:type="dxa"/>
                  </w:tcMar>
                </w:tcPr>
                <w:p w14:paraId="2A6931EE" w14:textId="77777777" w:rsidR="0028101B" w:rsidRDefault="00D446B3">
                  <w:pPr>
                    <w:rPr>
                      <w:sz w:val="22"/>
                    </w:rPr>
                  </w:pPr>
                  <w:r>
                    <w:rPr>
                      <w:sz w:val="22"/>
                    </w:rPr>
                    <w:t xml:space="preserve">H.M. </w:t>
                  </w:r>
                  <w:proofErr w:type="spellStart"/>
                  <w:r>
                    <w:rPr>
                      <w:sz w:val="22"/>
                    </w:rPr>
                    <w:t>Structures</w:t>
                  </w:r>
                  <w:proofErr w:type="spellEnd"/>
                  <w:r>
                    <w:rPr>
                      <w:sz w:val="22"/>
                    </w:rPr>
                    <w:t xml:space="preserve"> Ltd. v/ A og D dømmes in </w:t>
                  </w:r>
                  <w:proofErr w:type="spellStart"/>
                  <w:r>
                    <w:rPr>
                      <w:sz w:val="22"/>
                    </w:rPr>
                    <w:t>solidum</w:t>
                  </w:r>
                  <w:proofErr w:type="spellEnd"/>
                  <w:r>
                    <w:rPr>
                      <w:sz w:val="22"/>
                    </w:rPr>
                    <w:t xml:space="preserve"> til å erstatte </w:t>
                  </w:r>
                  <w:proofErr w:type="spellStart"/>
                  <w:r>
                    <w:rPr>
                      <w:sz w:val="22"/>
                    </w:rPr>
                    <w:t>Hs</w:t>
                  </w:r>
                  <w:proofErr w:type="spellEnd"/>
                  <w:r>
                    <w:rPr>
                      <w:sz w:val="22"/>
                    </w:rPr>
                    <w:t xml:space="preserve"> sakskostnader med 279 877 – </w:t>
                  </w:r>
                  <w:proofErr w:type="spellStart"/>
                  <w:r>
                    <w:rPr>
                      <w:sz w:val="22"/>
                    </w:rPr>
                    <w:t>tohundredeogsyttinitusenåttehundredeogsyttisyv</w:t>
                  </w:r>
                  <w:proofErr w:type="spellEnd"/>
                  <w:r>
                    <w:rPr>
                      <w:sz w:val="22"/>
                    </w:rPr>
                    <w:t xml:space="preserve"> – kroner for tingretten og 325 325 – </w:t>
                  </w:r>
                  <w:proofErr w:type="spellStart"/>
                  <w:r>
                    <w:rPr>
                      <w:sz w:val="22"/>
                    </w:rPr>
                    <w:t>trehundredeogtjuefemtusentrehundredeogtjuefem</w:t>
                  </w:r>
                  <w:proofErr w:type="spellEnd"/>
                  <w:r>
                    <w:rPr>
                      <w:sz w:val="22"/>
                    </w:rPr>
                    <w:t xml:space="preserve"> – kroner for lagmannsretten med tillegg av lovens forsinkelsesrente 14 – fjorten – dager fra dommens forkynnelse.</w:t>
                  </w:r>
                </w:p>
              </w:tc>
            </w:tr>
          </w:tbl>
          <w:p w14:paraId="2ECAE58F" w14:textId="77777777" w:rsidR="0028101B" w:rsidRDefault="0028101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5FBD6AC3" w14:textId="77777777">
              <w:tc>
                <w:tcPr>
                  <w:tcW w:w="1440" w:type="dxa"/>
                  <w:noWrap/>
                  <w:tcMar>
                    <w:right w:w="80" w:type="dxa"/>
                  </w:tcMar>
                </w:tcPr>
                <w:p w14:paraId="38D568D4" w14:textId="77777777" w:rsidR="0028101B" w:rsidRDefault="00D446B3">
                  <w:pPr>
                    <w:jc w:val="right"/>
                    <w:rPr>
                      <w:sz w:val="22"/>
                    </w:rPr>
                  </w:pPr>
                  <w:r>
                    <w:rPr>
                      <w:sz w:val="22"/>
                    </w:rPr>
                    <w:t>5.</w:t>
                  </w:r>
                </w:p>
              </w:tc>
              <w:tc>
                <w:tcPr>
                  <w:tcW w:w="8066" w:type="dxa"/>
                  <w:noWrap/>
                  <w:tcMar>
                    <w:right w:w="80" w:type="dxa"/>
                  </w:tcMar>
                </w:tcPr>
                <w:p w14:paraId="6E236A99" w14:textId="77777777" w:rsidR="0028101B" w:rsidRDefault="00D446B3">
                  <w:pPr>
                    <w:rPr>
                      <w:sz w:val="22"/>
                    </w:rPr>
                  </w:pPr>
                  <w:r>
                    <w:rPr>
                      <w:sz w:val="22"/>
                    </w:rPr>
                    <w:t xml:space="preserve">H.M. </w:t>
                  </w:r>
                  <w:proofErr w:type="spellStart"/>
                  <w:r>
                    <w:rPr>
                      <w:sz w:val="22"/>
                    </w:rPr>
                    <w:t>Structures</w:t>
                  </w:r>
                  <w:proofErr w:type="spellEnd"/>
                  <w:r>
                    <w:rPr>
                      <w:sz w:val="22"/>
                    </w:rPr>
                    <w:t xml:space="preserve"> Ltd. v/ A og D dømmes in </w:t>
                  </w:r>
                  <w:proofErr w:type="spellStart"/>
                  <w:r>
                    <w:rPr>
                      <w:sz w:val="22"/>
                    </w:rPr>
                    <w:t>solidum</w:t>
                  </w:r>
                  <w:proofErr w:type="spellEnd"/>
                  <w:r>
                    <w:rPr>
                      <w:sz w:val="22"/>
                    </w:rPr>
                    <w:t xml:space="preserve"> til å erstatte </w:t>
                  </w:r>
                  <w:proofErr w:type="spellStart"/>
                  <w:r>
                    <w:rPr>
                      <w:sz w:val="22"/>
                    </w:rPr>
                    <w:t>Gs</w:t>
                  </w:r>
                  <w:proofErr w:type="spellEnd"/>
                  <w:r>
                    <w:rPr>
                      <w:sz w:val="22"/>
                    </w:rPr>
                    <w:t xml:space="preserve"> sakskostnader med 279 877 – </w:t>
                  </w:r>
                  <w:proofErr w:type="spellStart"/>
                  <w:r>
                    <w:rPr>
                      <w:sz w:val="22"/>
                    </w:rPr>
                    <w:t>tohundredeogsyttinitusenåttehundredeogsyttisyv</w:t>
                  </w:r>
                  <w:proofErr w:type="spellEnd"/>
                  <w:r>
                    <w:rPr>
                      <w:sz w:val="22"/>
                    </w:rPr>
                    <w:t xml:space="preserve"> – kroner for tingretten og 325 325 – </w:t>
                  </w:r>
                  <w:proofErr w:type="spellStart"/>
                  <w:r>
                    <w:rPr>
                      <w:sz w:val="22"/>
                    </w:rPr>
                    <w:t>trehundredeogtjuefemtusentrehundredeogtjuefem</w:t>
                  </w:r>
                  <w:proofErr w:type="spellEnd"/>
                  <w:r>
                    <w:rPr>
                      <w:sz w:val="22"/>
                    </w:rPr>
                    <w:t xml:space="preserve"> – kroner for lagmannsretten med tillegg av lovens forsinkelsesrente 14 – fjorten – dager fra dommens forkynnelse.</w:t>
                  </w:r>
                </w:p>
              </w:tc>
            </w:tr>
          </w:tbl>
          <w:p w14:paraId="00B5AC5C" w14:textId="77777777" w:rsidR="0028101B" w:rsidRDefault="0028101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7B7E1E89" w14:textId="77777777">
              <w:tc>
                <w:tcPr>
                  <w:tcW w:w="1440" w:type="dxa"/>
                  <w:noWrap/>
                  <w:tcMar>
                    <w:right w:w="80" w:type="dxa"/>
                  </w:tcMar>
                </w:tcPr>
                <w:p w14:paraId="54A20004" w14:textId="77777777" w:rsidR="0028101B" w:rsidRDefault="00D446B3">
                  <w:pPr>
                    <w:jc w:val="right"/>
                    <w:rPr>
                      <w:sz w:val="22"/>
                    </w:rPr>
                  </w:pPr>
                  <w:r>
                    <w:rPr>
                      <w:sz w:val="22"/>
                    </w:rPr>
                    <w:t>6.</w:t>
                  </w:r>
                </w:p>
              </w:tc>
              <w:tc>
                <w:tcPr>
                  <w:tcW w:w="8066" w:type="dxa"/>
                  <w:noWrap/>
                  <w:tcMar>
                    <w:right w:w="80" w:type="dxa"/>
                  </w:tcMar>
                </w:tcPr>
                <w:p w14:paraId="65E774F1" w14:textId="77777777" w:rsidR="0028101B" w:rsidRDefault="00D446B3">
                  <w:pPr>
                    <w:rPr>
                      <w:sz w:val="22"/>
                    </w:rPr>
                  </w:pPr>
                  <w:r>
                    <w:rPr>
                      <w:sz w:val="22"/>
                    </w:rPr>
                    <w:t>For øvrig bærer partene egne sakskostnader for tingretten og lagmannsretten.»</w:t>
                  </w:r>
                </w:p>
              </w:tc>
            </w:tr>
          </w:tbl>
          <w:p w14:paraId="30665792" w14:textId="77777777" w:rsidR="0028101B" w:rsidRDefault="0028101B">
            <w:pPr>
              <w:rPr>
                <w:sz w:val="22"/>
              </w:rPr>
            </w:pPr>
          </w:p>
        </w:tc>
      </w:tr>
    </w:tbl>
    <w:p w14:paraId="12FB0D13" w14:textId="77777777" w:rsidR="0028101B" w:rsidRDefault="0028101B">
      <w:pPr>
        <w:rPr>
          <w:sz w:val="6"/>
        </w:rPr>
      </w:pPr>
    </w:p>
    <w:p w14:paraId="44313CD6"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6C4EA760" w14:textId="77777777">
        <w:tc>
          <w:tcPr>
            <w:tcW w:w="720" w:type="dxa"/>
            <w:noWrap/>
            <w:tcMar>
              <w:right w:w="80" w:type="dxa"/>
            </w:tcMar>
          </w:tcPr>
          <w:p w14:paraId="2FF7BAA8" w14:textId="77777777" w:rsidR="0028101B" w:rsidRDefault="00D446B3">
            <w:pPr>
              <w:rPr>
                <w:sz w:val="22"/>
              </w:rPr>
            </w:pPr>
            <w:r>
              <w:rPr>
                <w:sz w:val="22"/>
              </w:rPr>
              <w:t>(19)</w:t>
            </w:r>
          </w:p>
        </w:tc>
        <w:tc>
          <w:tcPr>
            <w:tcW w:w="0" w:type="auto"/>
            <w:tcMar>
              <w:right w:w="80" w:type="dxa"/>
            </w:tcMar>
          </w:tcPr>
          <w:p w14:paraId="4DC07B7F" w14:textId="77777777" w:rsidR="0028101B" w:rsidRDefault="00D446B3">
            <w:pPr>
              <w:rPr>
                <w:sz w:val="22"/>
              </w:rPr>
            </w:pPr>
            <w:r>
              <w:rPr>
                <w:sz w:val="22"/>
              </w:rPr>
              <w:t xml:space="preserve">Lagmannsrettens tok som utgangspunkt at styrets opplysningsansvar ved en rettet emisjon måtte være minst like strengt som ansvaret overfor selskapets kreditorer, og at F, E og I hadde formidlet et for optimistisk inntrykk av ferdigstillelsen av produktet </w:t>
            </w:r>
            <w:proofErr w:type="spellStart"/>
            <w:r>
              <w:rPr>
                <w:sz w:val="22"/>
              </w:rPr>
              <w:t>ApneaGraph</w:t>
            </w:r>
            <w:proofErr w:type="spellEnd"/>
            <w:r>
              <w:rPr>
                <w:sz w:val="22"/>
              </w:rPr>
              <w:t xml:space="preserve"> </w:t>
            </w:r>
            <w:proofErr w:type="spellStart"/>
            <w:r>
              <w:rPr>
                <w:sz w:val="22"/>
              </w:rPr>
              <w:t>Spiro</w:t>
            </w:r>
            <w:proofErr w:type="spellEnd"/>
            <w:r>
              <w:rPr>
                <w:sz w:val="22"/>
              </w:rPr>
              <w:t>. Ansvarsgrunnlagets objektive side var således oppfylt for disse tre. Når det gjaldt I, konkluderte retten likevel med at anken mot ham måtte forkastes, fordi han ikke hadde opptrådt ansvarsbetingende uaktsomt.</w:t>
            </w:r>
          </w:p>
        </w:tc>
      </w:tr>
    </w:tbl>
    <w:p w14:paraId="207811D3" w14:textId="77777777" w:rsidR="0028101B" w:rsidRDefault="0028101B">
      <w:pPr>
        <w:rPr>
          <w:sz w:val="6"/>
        </w:rPr>
      </w:pPr>
    </w:p>
    <w:p w14:paraId="3950A08C"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6B3839AD" w14:textId="77777777">
        <w:tc>
          <w:tcPr>
            <w:tcW w:w="720" w:type="dxa"/>
            <w:noWrap/>
            <w:tcMar>
              <w:right w:w="80" w:type="dxa"/>
            </w:tcMar>
          </w:tcPr>
          <w:p w14:paraId="652BECFB" w14:textId="77777777" w:rsidR="0028101B" w:rsidRDefault="00D446B3">
            <w:pPr>
              <w:rPr>
                <w:sz w:val="22"/>
              </w:rPr>
            </w:pPr>
            <w:r>
              <w:rPr>
                <w:sz w:val="22"/>
              </w:rPr>
              <w:t>(20)</w:t>
            </w:r>
          </w:p>
        </w:tc>
        <w:tc>
          <w:tcPr>
            <w:tcW w:w="0" w:type="auto"/>
            <w:tcMar>
              <w:right w:w="80" w:type="dxa"/>
            </w:tcMar>
          </w:tcPr>
          <w:p w14:paraId="612F3605" w14:textId="77777777" w:rsidR="0028101B" w:rsidRDefault="00D446B3">
            <w:pPr>
              <w:rPr>
                <w:sz w:val="22"/>
              </w:rPr>
            </w:pPr>
            <w:r>
              <w:rPr>
                <w:sz w:val="22"/>
              </w:rPr>
              <w:t>Ankene mot H og G (tidligere G) ble også forkastet fordi retten mente at disse hadde hatt en perifer rolle.</w:t>
            </w:r>
          </w:p>
        </w:tc>
      </w:tr>
    </w:tbl>
    <w:p w14:paraId="67099636" w14:textId="77777777" w:rsidR="0028101B" w:rsidRDefault="0028101B">
      <w:pPr>
        <w:rPr>
          <w:sz w:val="6"/>
        </w:rPr>
      </w:pPr>
    </w:p>
    <w:p w14:paraId="75D472E6"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0B8C3A4A" w14:textId="77777777">
        <w:tc>
          <w:tcPr>
            <w:tcW w:w="720" w:type="dxa"/>
            <w:noWrap/>
            <w:tcMar>
              <w:right w:w="80" w:type="dxa"/>
            </w:tcMar>
          </w:tcPr>
          <w:p w14:paraId="7248E739" w14:textId="77777777" w:rsidR="0028101B" w:rsidRDefault="00D446B3">
            <w:pPr>
              <w:rPr>
                <w:sz w:val="22"/>
              </w:rPr>
            </w:pPr>
            <w:r>
              <w:rPr>
                <w:sz w:val="22"/>
              </w:rPr>
              <w:t>(21)</w:t>
            </w:r>
          </w:p>
        </w:tc>
        <w:tc>
          <w:tcPr>
            <w:tcW w:w="0" w:type="auto"/>
            <w:tcMar>
              <w:right w:w="80" w:type="dxa"/>
            </w:tcMar>
          </w:tcPr>
          <w:p w14:paraId="71DB77B4" w14:textId="77777777" w:rsidR="0028101B" w:rsidRDefault="00D446B3">
            <w:pPr>
              <w:rPr>
                <w:sz w:val="22"/>
              </w:rPr>
            </w:pPr>
            <w:r>
              <w:rPr>
                <w:sz w:val="22"/>
              </w:rPr>
              <w:t xml:space="preserve">Lagmannsrettens flertall kom videre til at kravet til rettslig årsakssammenheng ikke var oppfylt for tapet av hele </w:t>
            </w:r>
            <w:r>
              <w:rPr>
                <w:sz w:val="22"/>
              </w:rPr>
              <w:t>investeringen og foretok deretter en skjønnsmessig reduksjon av de fremsatte erstatningskravene. Mindretallet kom på sin side til at investeringen måtte erstattes i sin helhet.</w:t>
            </w:r>
          </w:p>
        </w:tc>
      </w:tr>
    </w:tbl>
    <w:p w14:paraId="1DA4F324" w14:textId="77777777" w:rsidR="0028101B" w:rsidRDefault="0028101B">
      <w:pPr>
        <w:rPr>
          <w:sz w:val="6"/>
        </w:rPr>
      </w:pPr>
    </w:p>
    <w:p w14:paraId="5C105FC7"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6114F9FB" w14:textId="77777777">
        <w:tc>
          <w:tcPr>
            <w:tcW w:w="720" w:type="dxa"/>
            <w:noWrap/>
            <w:tcMar>
              <w:right w:w="80" w:type="dxa"/>
            </w:tcMar>
          </w:tcPr>
          <w:p w14:paraId="7B373BDE" w14:textId="77777777" w:rsidR="0028101B" w:rsidRDefault="00D446B3">
            <w:pPr>
              <w:rPr>
                <w:sz w:val="22"/>
              </w:rPr>
            </w:pPr>
            <w:r>
              <w:rPr>
                <w:sz w:val="22"/>
              </w:rPr>
              <w:t>(22)</w:t>
            </w:r>
          </w:p>
        </w:tc>
        <w:tc>
          <w:tcPr>
            <w:tcW w:w="0" w:type="auto"/>
            <w:tcMar>
              <w:right w:w="80" w:type="dxa"/>
            </w:tcMar>
          </w:tcPr>
          <w:p w14:paraId="1100A70B" w14:textId="77777777" w:rsidR="0028101B" w:rsidRDefault="00D446B3">
            <w:pPr>
              <w:rPr>
                <w:sz w:val="22"/>
              </w:rPr>
            </w:pPr>
            <w:r>
              <w:rPr>
                <w:sz w:val="22"/>
              </w:rPr>
              <w:t xml:space="preserve">Investorene H.M. </w:t>
            </w:r>
            <w:proofErr w:type="spellStart"/>
            <w:r>
              <w:rPr>
                <w:sz w:val="22"/>
              </w:rPr>
              <w:t>Structures</w:t>
            </w:r>
            <w:proofErr w:type="spellEnd"/>
            <w:r>
              <w:rPr>
                <w:sz w:val="22"/>
              </w:rPr>
              <w:t xml:space="preserve"> Ltd. og D og styremedlemmene E og F har alle inngitt selvstendige anker til Høyesterett. Partene omtales derfor i det følgende samlet som henholdsvis investorene og styremedlemmene eller ved deres respektive navn. Investorenes anke gjelder rettsanvendelsen, mens styremedlemmene har anket over rettsanvendelsen og bevisbedømmelsen.</w:t>
            </w:r>
          </w:p>
        </w:tc>
      </w:tr>
    </w:tbl>
    <w:p w14:paraId="7CC6F9BB" w14:textId="77777777" w:rsidR="0028101B" w:rsidRDefault="0028101B">
      <w:pPr>
        <w:rPr>
          <w:sz w:val="22"/>
        </w:rPr>
      </w:pPr>
      <w:bookmarkStart w:id="4" w:name="KAPITTEL_3"/>
      <w:bookmarkEnd w:id="3"/>
    </w:p>
    <w:p w14:paraId="78677C2F" w14:textId="77777777" w:rsidR="0028101B" w:rsidRDefault="0028101B">
      <w:pPr>
        <w:rPr>
          <w:sz w:val="22"/>
        </w:rPr>
      </w:pPr>
    </w:p>
    <w:p w14:paraId="3513FDA7" w14:textId="77777777" w:rsidR="0028101B" w:rsidRDefault="0028101B">
      <w:pPr>
        <w:rPr>
          <w:sz w:val="22"/>
        </w:rPr>
      </w:pPr>
    </w:p>
    <w:p w14:paraId="5AF6BCC5" w14:textId="77777777" w:rsidR="0028101B" w:rsidRDefault="00D446B3">
      <w:pPr>
        <w:pStyle w:val="Overskrift2"/>
        <w:spacing w:before="0" w:after="0"/>
      </w:pPr>
      <w:r>
        <w:t>Partenes syn på saken</w:t>
      </w:r>
    </w:p>
    <w:p w14:paraId="46B4A7E2"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69531B19" w14:textId="77777777">
        <w:tc>
          <w:tcPr>
            <w:tcW w:w="720" w:type="dxa"/>
            <w:noWrap/>
            <w:tcMar>
              <w:right w:w="80" w:type="dxa"/>
            </w:tcMar>
          </w:tcPr>
          <w:p w14:paraId="1B996C89" w14:textId="77777777" w:rsidR="0028101B" w:rsidRDefault="00D446B3">
            <w:pPr>
              <w:rPr>
                <w:sz w:val="22"/>
              </w:rPr>
            </w:pPr>
            <w:r>
              <w:rPr>
                <w:sz w:val="22"/>
              </w:rPr>
              <w:t>(23)</w:t>
            </w:r>
          </w:p>
        </w:tc>
        <w:tc>
          <w:tcPr>
            <w:tcW w:w="0" w:type="auto"/>
            <w:tcMar>
              <w:right w:w="80" w:type="dxa"/>
            </w:tcMar>
          </w:tcPr>
          <w:p w14:paraId="67E578AB" w14:textId="77777777" w:rsidR="0028101B" w:rsidRDefault="00D446B3">
            <w:pPr>
              <w:rPr>
                <w:sz w:val="22"/>
              </w:rPr>
            </w:pPr>
            <w:r>
              <w:rPr>
                <w:sz w:val="22"/>
              </w:rPr>
              <w:t xml:space="preserve">Investorene – </w:t>
            </w:r>
            <w:r>
              <w:rPr>
                <w:i/>
                <w:sz w:val="22"/>
              </w:rPr>
              <w:t xml:space="preserve">H.M. </w:t>
            </w:r>
            <w:proofErr w:type="spellStart"/>
            <w:r>
              <w:rPr>
                <w:i/>
                <w:sz w:val="22"/>
              </w:rPr>
              <w:t>Structures</w:t>
            </w:r>
            <w:proofErr w:type="spellEnd"/>
            <w:r>
              <w:rPr>
                <w:i/>
                <w:sz w:val="22"/>
              </w:rPr>
              <w:t xml:space="preserve"> Ltd. og D</w:t>
            </w:r>
            <w:r>
              <w:rPr>
                <w:sz w:val="22"/>
              </w:rPr>
              <w:t xml:space="preserve"> – har i korte trekk gjort gjeldende:</w:t>
            </w:r>
          </w:p>
        </w:tc>
      </w:tr>
    </w:tbl>
    <w:p w14:paraId="34438C43" w14:textId="77777777" w:rsidR="0028101B" w:rsidRDefault="0028101B">
      <w:pPr>
        <w:rPr>
          <w:sz w:val="6"/>
        </w:rPr>
      </w:pPr>
    </w:p>
    <w:p w14:paraId="1E68BBAF"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0C642056" w14:textId="77777777">
        <w:tc>
          <w:tcPr>
            <w:tcW w:w="720" w:type="dxa"/>
            <w:noWrap/>
            <w:tcMar>
              <w:right w:w="80" w:type="dxa"/>
            </w:tcMar>
          </w:tcPr>
          <w:p w14:paraId="32F4FE25" w14:textId="77777777" w:rsidR="0028101B" w:rsidRDefault="00D446B3">
            <w:pPr>
              <w:rPr>
                <w:sz w:val="22"/>
              </w:rPr>
            </w:pPr>
            <w:r>
              <w:rPr>
                <w:sz w:val="22"/>
              </w:rPr>
              <w:t>(24)</w:t>
            </w:r>
          </w:p>
        </w:tc>
        <w:tc>
          <w:tcPr>
            <w:tcW w:w="0" w:type="auto"/>
            <w:tcMar>
              <w:right w:w="80" w:type="dxa"/>
            </w:tcMar>
          </w:tcPr>
          <w:p w14:paraId="7BC6958C" w14:textId="77777777" w:rsidR="0028101B" w:rsidRDefault="00D446B3">
            <w:pPr>
              <w:rPr>
                <w:sz w:val="22"/>
              </w:rPr>
            </w:pPr>
            <w:r>
              <w:rPr>
                <w:sz w:val="22"/>
              </w:rPr>
              <w:t xml:space="preserve">Lagmannsretten har korrekt kommet til at det forelå ansvarsgrunnlag. Styremedlemmene opptrådte </w:t>
            </w:r>
            <w:r>
              <w:rPr>
                <w:sz w:val="22"/>
              </w:rPr>
              <w:t>erstatningsbetingende uaktsomt ved å gi uriktig og mangelfull informasjon. Kravet til årsakssammenheng er oppfylt slik at de tapte investeringene skal erstattes i sin helhet. Lagmannsrettens dom bygger på uklare betraktninger om årsakssammenheng og medvirkning. Dette er uriktig rettsanvendelse.</w:t>
            </w:r>
          </w:p>
        </w:tc>
      </w:tr>
    </w:tbl>
    <w:p w14:paraId="78393C1C" w14:textId="77777777" w:rsidR="0028101B" w:rsidRDefault="0028101B">
      <w:pPr>
        <w:rPr>
          <w:sz w:val="6"/>
        </w:rPr>
      </w:pPr>
    </w:p>
    <w:p w14:paraId="46C3F934"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8D76943" w14:textId="77777777">
        <w:tc>
          <w:tcPr>
            <w:tcW w:w="720" w:type="dxa"/>
            <w:noWrap/>
            <w:tcMar>
              <w:right w:w="80" w:type="dxa"/>
            </w:tcMar>
          </w:tcPr>
          <w:p w14:paraId="673C239E" w14:textId="77777777" w:rsidR="0028101B" w:rsidRDefault="00D446B3">
            <w:pPr>
              <w:rPr>
                <w:sz w:val="22"/>
              </w:rPr>
            </w:pPr>
            <w:r>
              <w:rPr>
                <w:sz w:val="22"/>
              </w:rPr>
              <w:t>(25)</w:t>
            </w:r>
          </w:p>
        </w:tc>
        <w:tc>
          <w:tcPr>
            <w:tcW w:w="0" w:type="auto"/>
            <w:tcMar>
              <w:right w:w="80" w:type="dxa"/>
            </w:tcMar>
          </w:tcPr>
          <w:p w14:paraId="092F5B8A" w14:textId="77777777" w:rsidR="0028101B" w:rsidRDefault="00D446B3">
            <w:pPr>
              <w:rPr>
                <w:sz w:val="22"/>
              </w:rPr>
            </w:pPr>
            <w:r>
              <w:rPr>
                <w:sz w:val="22"/>
              </w:rPr>
              <w:t xml:space="preserve">Ansvarsgrunnlaget er en alminnelig culpavurdering, jf. </w:t>
            </w:r>
            <w:hyperlink r:id="rId10" w:anchor="reference/lov/1997-06-13-44/§17-1" w:history="1">
              <w:r>
                <w:rPr>
                  <w:sz w:val="22"/>
                </w:rPr>
                <w:t>aksjeloven § 17-1</w:t>
              </w:r>
            </w:hyperlink>
            <w:r>
              <w:rPr>
                <w:sz w:val="22"/>
              </w:rPr>
              <w:t xml:space="preserve">. Det kan ikke gis uriktig informasjon. Opplysningene om fremtidig utvikling må være bygget på riktig og tilstrekkelig grunnlag. Avgjørende er en samlet vurdering. Høyesterettspraksis gir ikke grunnlag for å oppstille krav om at det må være kvalifiserte mangler ved den informasjon som gis. Det </w:t>
            </w:r>
            <w:proofErr w:type="spellStart"/>
            <w:r>
              <w:rPr>
                <w:sz w:val="22"/>
              </w:rPr>
              <w:t>kontraktslignende</w:t>
            </w:r>
            <w:proofErr w:type="spellEnd"/>
            <w:r>
              <w:rPr>
                <w:sz w:val="22"/>
              </w:rPr>
              <w:t xml:space="preserve"> forholdet mellom aksjetegnerne og styret tilsier at det gjelder en streng norm.</w:t>
            </w:r>
          </w:p>
        </w:tc>
      </w:tr>
    </w:tbl>
    <w:p w14:paraId="7AEE2F04" w14:textId="77777777" w:rsidR="0028101B" w:rsidRDefault="0028101B">
      <w:pPr>
        <w:rPr>
          <w:sz w:val="6"/>
        </w:rPr>
      </w:pPr>
    </w:p>
    <w:p w14:paraId="1E8E9A13"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0AA927C" w14:textId="77777777">
        <w:tc>
          <w:tcPr>
            <w:tcW w:w="720" w:type="dxa"/>
            <w:noWrap/>
            <w:tcMar>
              <w:right w:w="80" w:type="dxa"/>
            </w:tcMar>
          </w:tcPr>
          <w:p w14:paraId="5FB99AD9" w14:textId="77777777" w:rsidR="0028101B" w:rsidRDefault="00D446B3">
            <w:pPr>
              <w:rPr>
                <w:sz w:val="22"/>
              </w:rPr>
            </w:pPr>
            <w:r>
              <w:rPr>
                <w:sz w:val="22"/>
              </w:rPr>
              <w:t>(26)</w:t>
            </w:r>
          </w:p>
        </w:tc>
        <w:tc>
          <w:tcPr>
            <w:tcW w:w="0" w:type="auto"/>
            <w:tcMar>
              <w:right w:w="80" w:type="dxa"/>
            </w:tcMar>
          </w:tcPr>
          <w:p w14:paraId="6E766FC4" w14:textId="77777777" w:rsidR="0028101B" w:rsidRDefault="00D446B3">
            <w:pPr>
              <w:rPr>
                <w:sz w:val="22"/>
              </w:rPr>
            </w:pPr>
            <w:r>
              <w:rPr>
                <w:sz w:val="22"/>
              </w:rPr>
              <w:t xml:space="preserve">Styremedlemmene har i tillegg brutt plikten de er pålagt i </w:t>
            </w:r>
            <w:hyperlink r:id="rId11" w:anchor="reference/lov/1997-06-13-44/§10-3" w:history="1">
              <w:r>
                <w:rPr>
                  <w:sz w:val="22"/>
                </w:rPr>
                <w:t>aksjeloven § 10-3</w:t>
              </w:r>
            </w:hyperlink>
            <w:r>
              <w:rPr>
                <w:sz w:val="22"/>
              </w:rPr>
              <w:t>. Når det foreligger et objektivt pliktbrudd, er det en presumsjon for at styremedlemmene har handlet uaktsomt.</w:t>
            </w:r>
          </w:p>
        </w:tc>
      </w:tr>
    </w:tbl>
    <w:p w14:paraId="3AC2889F" w14:textId="77777777" w:rsidR="0028101B" w:rsidRDefault="0028101B">
      <w:pPr>
        <w:rPr>
          <w:sz w:val="6"/>
        </w:rPr>
      </w:pPr>
    </w:p>
    <w:p w14:paraId="540012FA"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D8D0083" w14:textId="77777777">
        <w:tc>
          <w:tcPr>
            <w:tcW w:w="720" w:type="dxa"/>
            <w:noWrap/>
            <w:tcMar>
              <w:right w:w="80" w:type="dxa"/>
            </w:tcMar>
          </w:tcPr>
          <w:p w14:paraId="21E4EB25" w14:textId="77777777" w:rsidR="0028101B" w:rsidRDefault="00D446B3">
            <w:pPr>
              <w:rPr>
                <w:sz w:val="22"/>
              </w:rPr>
            </w:pPr>
            <w:r>
              <w:rPr>
                <w:sz w:val="22"/>
              </w:rPr>
              <w:t>(27)</w:t>
            </w:r>
          </w:p>
        </w:tc>
        <w:tc>
          <w:tcPr>
            <w:tcW w:w="0" w:type="auto"/>
            <w:tcMar>
              <w:right w:w="80" w:type="dxa"/>
            </w:tcMar>
          </w:tcPr>
          <w:p w14:paraId="661DBA9D" w14:textId="77777777" w:rsidR="0028101B" w:rsidRDefault="00D446B3">
            <w:pPr>
              <w:rPr>
                <w:sz w:val="22"/>
              </w:rPr>
            </w:pPr>
            <w:r>
              <w:rPr>
                <w:sz w:val="22"/>
              </w:rPr>
              <w:t xml:space="preserve">De mangelfulle og uriktige opplysningene knytter seg i første rekke til </w:t>
            </w:r>
            <w:r>
              <w:rPr>
                <w:sz w:val="22"/>
              </w:rPr>
              <w:t xml:space="preserve">opplysninger om ferdigstillelsesgraden og risikoen knyttet til selskapets produkt, </w:t>
            </w:r>
            <w:proofErr w:type="spellStart"/>
            <w:r>
              <w:rPr>
                <w:sz w:val="22"/>
              </w:rPr>
              <w:t>ApneaGraph</w:t>
            </w:r>
            <w:proofErr w:type="spellEnd"/>
            <w:r>
              <w:rPr>
                <w:sz w:val="22"/>
              </w:rPr>
              <w:t xml:space="preserve"> </w:t>
            </w:r>
            <w:proofErr w:type="spellStart"/>
            <w:r>
              <w:rPr>
                <w:sz w:val="22"/>
              </w:rPr>
              <w:t>Spiro</w:t>
            </w:r>
            <w:proofErr w:type="spellEnd"/>
            <w:r>
              <w:rPr>
                <w:sz w:val="22"/>
              </w:rPr>
              <w:t xml:space="preserve">. Investorene ble forespeilet at produktet var ferdig utviklet, og at det bare var formaliteter som gjensto før det kunne </w:t>
            </w:r>
            <w:r>
              <w:rPr>
                <w:sz w:val="22"/>
              </w:rPr>
              <w:lastRenderedPageBreak/>
              <w:t>markedsføres og selges. Dette var ikke korrekt. Det ble også gitt uriktig informasjon om programvaren som skulle analysere testresultatene. Utviklingen av ny programvare ble påbegynt etter emisjonen. Informasjon om risikoen knyttet til ferdigstillelsen av produktet, produksjonsstart, lanser</w:t>
            </w:r>
            <w:r>
              <w:rPr>
                <w:sz w:val="22"/>
              </w:rPr>
              <w:t>ing, salg og regulatoriske forhold var samlet sett uriktig og ufullstendig.</w:t>
            </w:r>
          </w:p>
        </w:tc>
      </w:tr>
    </w:tbl>
    <w:p w14:paraId="45597582" w14:textId="77777777" w:rsidR="0028101B" w:rsidRDefault="0028101B">
      <w:pPr>
        <w:rPr>
          <w:sz w:val="6"/>
        </w:rPr>
      </w:pPr>
    </w:p>
    <w:p w14:paraId="13FDE6DA"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2828DF5B" w14:textId="77777777">
        <w:tc>
          <w:tcPr>
            <w:tcW w:w="720" w:type="dxa"/>
            <w:noWrap/>
            <w:tcMar>
              <w:right w:w="80" w:type="dxa"/>
            </w:tcMar>
          </w:tcPr>
          <w:p w14:paraId="0E8DFEE2" w14:textId="77777777" w:rsidR="0028101B" w:rsidRDefault="00D446B3">
            <w:pPr>
              <w:rPr>
                <w:sz w:val="22"/>
              </w:rPr>
            </w:pPr>
            <w:r>
              <w:rPr>
                <w:sz w:val="22"/>
              </w:rPr>
              <w:t>(28)</w:t>
            </w:r>
          </w:p>
        </w:tc>
        <w:tc>
          <w:tcPr>
            <w:tcW w:w="0" w:type="auto"/>
            <w:tcMar>
              <w:right w:w="80" w:type="dxa"/>
            </w:tcMar>
          </w:tcPr>
          <w:p w14:paraId="7877D4BA" w14:textId="77777777" w:rsidR="0028101B" w:rsidRDefault="00D446B3">
            <w:pPr>
              <w:rPr>
                <w:sz w:val="22"/>
              </w:rPr>
            </w:pPr>
            <w:proofErr w:type="spellStart"/>
            <w:r>
              <w:rPr>
                <w:sz w:val="22"/>
              </w:rPr>
              <w:t>Årsakskravet</w:t>
            </w:r>
            <w:proofErr w:type="spellEnd"/>
            <w:r>
              <w:rPr>
                <w:sz w:val="22"/>
              </w:rPr>
              <w:t xml:space="preserve"> etter gjeldende rett er basert på betingelseslæren. Dersom investeringen ikke var blitt foretatt hvis informasjonssvikten tenkes borte, er kravet oppfylt. Tidsnære bevis viser at det ikke ble opplyst om teknisk risiko i 2014, og investorene la til grunn at det ikke forelå risiko knyttet til produktutvikling. Hadde investorene fått korrekte og fyllestgjørende opplysninger, ville de ikke ha investert.</w:t>
            </w:r>
          </w:p>
        </w:tc>
      </w:tr>
    </w:tbl>
    <w:p w14:paraId="430D5C3B" w14:textId="77777777" w:rsidR="0028101B" w:rsidRDefault="0028101B">
      <w:pPr>
        <w:rPr>
          <w:sz w:val="6"/>
        </w:rPr>
      </w:pPr>
    </w:p>
    <w:p w14:paraId="729829C8"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981AFB2" w14:textId="77777777">
        <w:tc>
          <w:tcPr>
            <w:tcW w:w="720" w:type="dxa"/>
            <w:noWrap/>
            <w:tcMar>
              <w:right w:w="80" w:type="dxa"/>
            </w:tcMar>
          </w:tcPr>
          <w:p w14:paraId="5287E281" w14:textId="77777777" w:rsidR="0028101B" w:rsidRDefault="00D446B3">
            <w:pPr>
              <w:rPr>
                <w:sz w:val="22"/>
              </w:rPr>
            </w:pPr>
            <w:r>
              <w:rPr>
                <w:sz w:val="22"/>
              </w:rPr>
              <w:t>(29)</w:t>
            </w:r>
          </w:p>
        </w:tc>
        <w:tc>
          <w:tcPr>
            <w:tcW w:w="0" w:type="auto"/>
            <w:tcMar>
              <w:right w:w="80" w:type="dxa"/>
            </w:tcMar>
          </w:tcPr>
          <w:p w14:paraId="42094AA7" w14:textId="77777777" w:rsidR="0028101B" w:rsidRDefault="00D446B3">
            <w:pPr>
              <w:rPr>
                <w:sz w:val="22"/>
              </w:rPr>
            </w:pPr>
            <w:r>
              <w:rPr>
                <w:sz w:val="22"/>
              </w:rPr>
              <w:t>Investorenes tap er de tapte aksjeinnskuddene, avsavnsrente og dekning av advokatutgifter før stevning. Det foreligger ikke grunnlag for avkortning under henvisning til skadelidtes medvirkning.</w:t>
            </w:r>
          </w:p>
        </w:tc>
      </w:tr>
    </w:tbl>
    <w:p w14:paraId="7F3E475B" w14:textId="77777777" w:rsidR="0028101B" w:rsidRDefault="0028101B">
      <w:pPr>
        <w:rPr>
          <w:sz w:val="6"/>
        </w:rPr>
      </w:pPr>
    </w:p>
    <w:p w14:paraId="13446C77"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28101B" w14:paraId="301BE652" w14:textId="77777777">
        <w:tc>
          <w:tcPr>
            <w:tcW w:w="720" w:type="dxa"/>
            <w:noWrap/>
            <w:tcMar>
              <w:right w:w="80" w:type="dxa"/>
            </w:tcMar>
          </w:tcPr>
          <w:p w14:paraId="4301D531" w14:textId="77777777" w:rsidR="0028101B" w:rsidRDefault="00D446B3">
            <w:pPr>
              <w:rPr>
                <w:sz w:val="22"/>
              </w:rPr>
            </w:pPr>
            <w:r>
              <w:rPr>
                <w:sz w:val="22"/>
              </w:rPr>
              <w:t>(30)</w:t>
            </w:r>
          </w:p>
        </w:tc>
        <w:tc>
          <w:tcPr>
            <w:tcW w:w="0" w:type="auto"/>
            <w:tcMar>
              <w:right w:w="80" w:type="dxa"/>
            </w:tcMar>
          </w:tcPr>
          <w:p w14:paraId="385C88FA" w14:textId="77777777" w:rsidR="0028101B" w:rsidRDefault="00D446B3">
            <w:pPr>
              <w:rPr>
                <w:sz w:val="6"/>
              </w:rPr>
            </w:pPr>
            <w:r>
              <w:rPr>
                <w:sz w:val="22"/>
              </w:rPr>
              <w:t xml:space="preserve">H.M. </w:t>
            </w:r>
            <w:proofErr w:type="spellStart"/>
            <w:r>
              <w:rPr>
                <w:sz w:val="22"/>
              </w:rPr>
              <w:t>Structures</w:t>
            </w:r>
            <w:proofErr w:type="spellEnd"/>
            <w:r>
              <w:rPr>
                <w:sz w:val="22"/>
              </w:rPr>
              <w:t xml:space="preserve"> Limited og D har nedlagt slik påstand:</w:t>
            </w:r>
          </w:p>
          <w:p w14:paraId="50FF9FEF" w14:textId="77777777" w:rsidR="0028101B" w:rsidRDefault="00D446B3">
            <w:pPr>
              <w:spacing w:before="120"/>
              <w:ind w:left="1080"/>
              <w:rPr>
                <w:sz w:val="6"/>
              </w:rPr>
            </w:pPr>
            <w:r>
              <w:rPr>
                <w:sz w:val="22"/>
              </w:rPr>
              <w:t>«</w:t>
            </w:r>
            <w:r>
              <w:rPr>
                <w:sz w:val="22"/>
                <w:u w:val="single"/>
              </w:rPr>
              <w:t xml:space="preserve">I anledning anken fra H.M. </w:t>
            </w:r>
            <w:proofErr w:type="spellStart"/>
            <w:r>
              <w:rPr>
                <w:sz w:val="22"/>
                <w:u w:val="single"/>
              </w:rPr>
              <w:t>Structures</w:t>
            </w:r>
            <w:proofErr w:type="spellEnd"/>
            <w:r>
              <w:rPr>
                <w:sz w:val="22"/>
                <w:u w:val="single"/>
              </w:rPr>
              <w:t xml:space="preserve"> Ltd. og D</w:t>
            </w:r>
            <w:r>
              <w:rPr>
                <w:sz w:val="22"/>
              </w:rPr>
              <w:t>:</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125B7C11" w14:textId="77777777">
              <w:tc>
                <w:tcPr>
                  <w:tcW w:w="1440" w:type="dxa"/>
                  <w:noWrap/>
                  <w:tcMar>
                    <w:right w:w="80" w:type="dxa"/>
                  </w:tcMar>
                </w:tcPr>
                <w:p w14:paraId="79A767BE" w14:textId="77777777" w:rsidR="0028101B" w:rsidRDefault="00D446B3">
                  <w:pPr>
                    <w:jc w:val="right"/>
                    <w:rPr>
                      <w:sz w:val="22"/>
                    </w:rPr>
                  </w:pPr>
                  <w:r>
                    <w:rPr>
                      <w:sz w:val="22"/>
                    </w:rPr>
                    <w:t>1.</w:t>
                  </w:r>
                </w:p>
              </w:tc>
              <w:tc>
                <w:tcPr>
                  <w:tcW w:w="8066" w:type="dxa"/>
                  <w:noWrap/>
                  <w:tcMar>
                    <w:right w:w="80" w:type="dxa"/>
                  </w:tcMar>
                </w:tcPr>
                <w:p w14:paraId="2643CEA6" w14:textId="77777777" w:rsidR="0028101B" w:rsidRDefault="00D446B3">
                  <w:pPr>
                    <w:rPr>
                      <w:sz w:val="22"/>
                    </w:rPr>
                  </w:pPr>
                  <w:r>
                    <w:rPr>
                      <w:sz w:val="22"/>
                    </w:rPr>
                    <w:t xml:space="preserve">H.M. </w:t>
                  </w:r>
                  <w:proofErr w:type="spellStart"/>
                  <w:r>
                    <w:rPr>
                      <w:sz w:val="22"/>
                    </w:rPr>
                    <w:t>Structures</w:t>
                  </w:r>
                  <w:proofErr w:type="spellEnd"/>
                  <w:r>
                    <w:rPr>
                      <w:sz w:val="22"/>
                    </w:rPr>
                    <w:t xml:space="preserve"> Ltd. og D</w:t>
                  </w:r>
                  <w:r>
                    <w:rPr>
                      <w:sz w:val="22"/>
                    </w:rPr>
                    <w:t xml:space="preserve"> tilkjennes erstatning etter Høyesteretts skjønn med tillegg av lovens forsinkelsesrente fra 21. april 2016.</w:t>
                  </w:r>
                </w:p>
              </w:tc>
            </w:tr>
          </w:tbl>
          <w:p w14:paraId="5AB34FC5" w14:textId="77777777" w:rsidR="0028101B" w:rsidRDefault="0028101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12D26904" w14:textId="77777777">
              <w:tc>
                <w:tcPr>
                  <w:tcW w:w="1440" w:type="dxa"/>
                  <w:noWrap/>
                  <w:tcMar>
                    <w:right w:w="80" w:type="dxa"/>
                  </w:tcMar>
                </w:tcPr>
                <w:p w14:paraId="2C08303A" w14:textId="77777777" w:rsidR="0028101B" w:rsidRDefault="00D446B3">
                  <w:pPr>
                    <w:jc w:val="right"/>
                    <w:rPr>
                      <w:sz w:val="22"/>
                    </w:rPr>
                  </w:pPr>
                  <w:r>
                    <w:rPr>
                      <w:sz w:val="22"/>
                    </w:rPr>
                    <w:t>2.</w:t>
                  </w:r>
                </w:p>
              </w:tc>
              <w:tc>
                <w:tcPr>
                  <w:tcW w:w="8066" w:type="dxa"/>
                  <w:noWrap/>
                  <w:tcMar>
                    <w:right w:w="80" w:type="dxa"/>
                  </w:tcMar>
                </w:tcPr>
                <w:p w14:paraId="512EFDFB" w14:textId="77777777" w:rsidR="0028101B" w:rsidRDefault="00D446B3">
                  <w:pPr>
                    <w:rPr>
                      <w:sz w:val="22"/>
                    </w:rPr>
                  </w:pPr>
                  <w:r>
                    <w:rPr>
                      <w:sz w:val="22"/>
                    </w:rPr>
                    <w:t xml:space="preserve">H.M. </w:t>
                  </w:r>
                  <w:proofErr w:type="spellStart"/>
                  <w:r>
                    <w:rPr>
                      <w:sz w:val="22"/>
                    </w:rPr>
                    <w:t>Structures</w:t>
                  </w:r>
                  <w:proofErr w:type="spellEnd"/>
                  <w:r>
                    <w:rPr>
                      <w:sz w:val="22"/>
                    </w:rPr>
                    <w:t xml:space="preserve"> Ltd. og D tilkjennes sakskostnader for samtlige rettsinstanser.</w:t>
                  </w:r>
                </w:p>
              </w:tc>
            </w:tr>
          </w:tbl>
          <w:p w14:paraId="2D138855" w14:textId="77777777" w:rsidR="0028101B" w:rsidRDefault="0028101B">
            <w:pPr>
              <w:rPr>
                <w:sz w:val="6"/>
              </w:rPr>
            </w:pPr>
          </w:p>
          <w:p w14:paraId="61620276" w14:textId="77777777" w:rsidR="0028101B" w:rsidRDefault="00D446B3">
            <w:pPr>
              <w:spacing w:before="120"/>
              <w:ind w:left="1080"/>
              <w:rPr>
                <w:sz w:val="6"/>
              </w:rPr>
            </w:pPr>
            <w:r>
              <w:rPr>
                <w:sz w:val="22"/>
                <w:u w:val="single"/>
              </w:rPr>
              <w:t>I anledning anken fra E og F</w:t>
            </w:r>
            <w:r>
              <w:rPr>
                <w:sz w:val="22"/>
              </w:rPr>
              <w:t>:</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02A69F56" w14:textId="77777777">
              <w:tc>
                <w:tcPr>
                  <w:tcW w:w="1440" w:type="dxa"/>
                  <w:noWrap/>
                  <w:tcMar>
                    <w:right w:w="80" w:type="dxa"/>
                  </w:tcMar>
                </w:tcPr>
                <w:p w14:paraId="0805640E" w14:textId="77777777" w:rsidR="0028101B" w:rsidRDefault="00D446B3">
                  <w:pPr>
                    <w:jc w:val="right"/>
                    <w:rPr>
                      <w:sz w:val="22"/>
                    </w:rPr>
                  </w:pPr>
                  <w:r>
                    <w:rPr>
                      <w:sz w:val="22"/>
                    </w:rPr>
                    <w:t>1.</w:t>
                  </w:r>
                </w:p>
              </w:tc>
              <w:tc>
                <w:tcPr>
                  <w:tcW w:w="8066" w:type="dxa"/>
                  <w:noWrap/>
                  <w:tcMar>
                    <w:right w:w="80" w:type="dxa"/>
                  </w:tcMar>
                </w:tcPr>
                <w:p w14:paraId="51DC11E0" w14:textId="77777777" w:rsidR="0028101B" w:rsidRDefault="00D446B3">
                  <w:pPr>
                    <w:rPr>
                      <w:sz w:val="22"/>
                    </w:rPr>
                  </w:pPr>
                  <w:r>
                    <w:rPr>
                      <w:sz w:val="22"/>
                    </w:rPr>
                    <w:t>Anken forkastes.</w:t>
                  </w:r>
                </w:p>
              </w:tc>
            </w:tr>
          </w:tbl>
          <w:p w14:paraId="4D3B5B5E" w14:textId="77777777" w:rsidR="0028101B" w:rsidRDefault="0028101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1517191B" w14:textId="77777777">
              <w:tc>
                <w:tcPr>
                  <w:tcW w:w="1440" w:type="dxa"/>
                  <w:noWrap/>
                  <w:tcMar>
                    <w:right w:w="80" w:type="dxa"/>
                  </w:tcMar>
                </w:tcPr>
                <w:p w14:paraId="792CF6AB" w14:textId="77777777" w:rsidR="0028101B" w:rsidRDefault="00D446B3">
                  <w:pPr>
                    <w:jc w:val="right"/>
                    <w:rPr>
                      <w:sz w:val="22"/>
                    </w:rPr>
                  </w:pPr>
                  <w:r>
                    <w:rPr>
                      <w:sz w:val="22"/>
                    </w:rPr>
                    <w:t>2.</w:t>
                  </w:r>
                </w:p>
              </w:tc>
              <w:tc>
                <w:tcPr>
                  <w:tcW w:w="8066" w:type="dxa"/>
                  <w:noWrap/>
                  <w:tcMar>
                    <w:right w:w="80" w:type="dxa"/>
                  </w:tcMar>
                </w:tcPr>
                <w:p w14:paraId="4D0006F1" w14:textId="77777777" w:rsidR="0028101B" w:rsidRDefault="00D446B3">
                  <w:pPr>
                    <w:rPr>
                      <w:sz w:val="22"/>
                    </w:rPr>
                  </w:pPr>
                  <w:r>
                    <w:rPr>
                      <w:sz w:val="22"/>
                    </w:rPr>
                    <w:t xml:space="preserve">H.M. </w:t>
                  </w:r>
                  <w:proofErr w:type="spellStart"/>
                  <w:r>
                    <w:rPr>
                      <w:sz w:val="22"/>
                    </w:rPr>
                    <w:t>Structures</w:t>
                  </w:r>
                  <w:proofErr w:type="spellEnd"/>
                  <w:r>
                    <w:rPr>
                      <w:sz w:val="22"/>
                    </w:rPr>
                    <w:t xml:space="preserve"> Limited og D tilkjennes saksomkostninger for Høyesterett.»</w:t>
                  </w:r>
                </w:p>
              </w:tc>
            </w:tr>
          </w:tbl>
          <w:p w14:paraId="322AD436" w14:textId="77777777" w:rsidR="0028101B" w:rsidRDefault="0028101B">
            <w:pPr>
              <w:rPr>
                <w:sz w:val="22"/>
              </w:rPr>
            </w:pPr>
          </w:p>
        </w:tc>
      </w:tr>
    </w:tbl>
    <w:p w14:paraId="395FB54D" w14:textId="77777777" w:rsidR="0028101B" w:rsidRDefault="0028101B">
      <w:pPr>
        <w:rPr>
          <w:sz w:val="6"/>
        </w:rPr>
      </w:pPr>
    </w:p>
    <w:p w14:paraId="27BB18D3"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9555338" w14:textId="77777777">
        <w:tc>
          <w:tcPr>
            <w:tcW w:w="720" w:type="dxa"/>
            <w:noWrap/>
            <w:tcMar>
              <w:right w:w="80" w:type="dxa"/>
            </w:tcMar>
          </w:tcPr>
          <w:p w14:paraId="4FB425ED" w14:textId="77777777" w:rsidR="0028101B" w:rsidRDefault="00D446B3">
            <w:pPr>
              <w:rPr>
                <w:sz w:val="22"/>
              </w:rPr>
            </w:pPr>
            <w:r>
              <w:rPr>
                <w:sz w:val="22"/>
              </w:rPr>
              <w:t>(31)</w:t>
            </w:r>
          </w:p>
        </w:tc>
        <w:tc>
          <w:tcPr>
            <w:tcW w:w="0" w:type="auto"/>
            <w:tcMar>
              <w:right w:w="80" w:type="dxa"/>
            </w:tcMar>
          </w:tcPr>
          <w:p w14:paraId="4D1FD5AE" w14:textId="77777777" w:rsidR="0028101B" w:rsidRDefault="00D446B3">
            <w:pPr>
              <w:rPr>
                <w:sz w:val="22"/>
              </w:rPr>
            </w:pPr>
            <w:r>
              <w:rPr>
                <w:sz w:val="22"/>
              </w:rPr>
              <w:t xml:space="preserve">Styremedlemmene – </w:t>
            </w:r>
            <w:r>
              <w:rPr>
                <w:i/>
                <w:sz w:val="22"/>
              </w:rPr>
              <w:t>F og E</w:t>
            </w:r>
            <w:r>
              <w:rPr>
                <w:sz w:val="22"/>
              </w:rPr>
              <w:t xml:space="preserve"> – har i korte trekk gjort gjeldende:</w:t>
            </w:r>
          </w:p>
        </w:tc>
      </w:tr>
    </w:tbl>
    <w:p w14:paraId="39667179" w14:textId="77777777" w:rsidR="0028101B" w:rsidRDefault="0028101B">
      <w:pPr>
        <w:rPr>
          <w:sz w:val="6"/>
        </w:rPr>
      </w:pPr>
    </w:p>
    <w:p w14:paraId="2A1BF88A"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40CCB96" w14:textId="77777777">
        <w:tc>
          <w:tcPr>
            <w:tcW w:w="720" w:type="dxa"/>
            <w:noWrap/>
            <w:tcMar>
              <w:right w:w="80" w:type="dxa"/>
            </w:tcMar>
          </w:tcPr>
          <w:p w14:paraId="0E1A87D9" w14:textId="77777777" w:rsidR="0028101B" w:rsidRDefault="00D446B3">
            <w:pPr>
              <w:rPr>
                <w:sz w:val="22"/>
              </w:rPr>
            </w:pPr>
            <w:r>
              <w:rPr>
                <w:sz w:val="22"/>
              </w:rPr>
              <w:t>(32)</w:t>
            </w:r>
          </w:p>
        </w:tc>
        <w:tc>
          <w:tcPr>
            <w:tcW w:w="0" w:type="auto"/>
            <w:tcMar>
              <w:right w:w="80" w:type="dxa"/>
            </w:tcMar>
          </w:tcPr>
          <w:p w14:paraId="2ADA4EC6" w14:textId="77777777" w:rsidR="0028101B" w:rsidRDefault="00D446B3">
            <w:pPr>
              <w:rPr>
                <w:sz w:val="22"/>
              </w:rPr>
            </w:pPr>
            <w:r>
              <w:rPr>
                <w:sz w:val="22"/>
              </w:rPr>
              <w:t xml:space="preserve">Lagmannsrettens rettslige utgangspunkt for vurderingen av styremedlemmenes </w:t>
            </w:r>
            <w:r>
              <w:rPr>
                <w:sz w:val="22"/>
              </w:rPr>
              <w:t>erstatningsansvar ved kapitalforhøyelser, er uriktig. Det må skilles mellom styremedlemmenes ansvar overfor selskapet og ansvaret overfor tredjeparter. Styremedlemmenes erstatningsansvar overfor utenforstående tredjeparter krever en særlig begrunnelse. For det typetilfellet denne saken gjelder, følger det av høyesterettspraksis at det må foreligge kvalifiserte mangler ved den informasjonen investorene har fått før ansvar kan ilegges.</w:t>
            </w:r>
          </w:p>
        </w:tc>
      </w:tr>
    </w:tbl>
    <w:p w14:paraId="49EB022C" w14:textId="77777777" w:rsidR="0028101B" w:rsidRDefault="0028101B">
      <w:pPr>
        <w:rPr>
          <w:sz w:val="6"/>
        </w:rPr>
      </w:pPr>
    </w:p>
    <w:p w14:paraId="57BF332A"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2D45A298" w14:textId="77777777">
        <w:tc>
          <w:tcPr>
            <w:tcW w:w="720" w:type="dxa"/>
            <w:noWrap/>
            <w:tcMar>
              <w:right w:w="80" w:type="dxa"/>
            </w:tcMar>
          </w:tcPr>
          <w:p w14:paraId="5D1AC2A6" w14:textId="77777777" w:rsidR="0028101B" w:rsidRDefault="00D446B3">
            <w:pPr>
              <w:rPr>
                <w:sz w:val="22"/>
              </w:rPr>
            </w:pPr>
            <w:r>
              <w:rPr>
                <w:sz w:val="22"/>
              </w:rPr>
              <w:t>(33)</w:t>
            </w:r>
          </w:p>
        </w:tc>
        <w:tc>
          <w:tcPr>
            <w:tcW w:w="0" w:type="auto"/>
            <w:tcMar>
              <w:right w:w="80" w:type="dxa"/>
            </w:tcMar>
          </w:tcPr>
          <w:p w14:paraId="66AA45D3" w14:textId="77777777" w:rsidR="0028101B" w:rsidRDefault="00D446B3">
            <w:pPr>
              <w:rPr>
                <w:sz w:val="22"/>
              </w:rPr>
            </w:pPr>
            <w:r>
              <w:rPr>
                <w:sz w:val="22"/>
              </w:rPr>
              <w:t>Det er også feil rettsanvendelse når lagmannsretten ikke sondrer mellom informasjon om historiske eller faktiske forhold og informasjon om forventninger og prognoser om fremtiden. Investorene bærer selv risikoen for egne vurderinger og prognoser. At investorene var profesjonelle, får betydning for de kravene som stilles til den informasjonen som gis.</w:t>
            </w:r>
          </w:p>
        </w:tc>
      </w:tr>
    </w:tbl>
    <w:p w14:paraId="637B6D1F" w14:textId="77777777" w:rsidR="0028101B" w:rsidRDefault="0028101B">
      <w:pPr>
        <w:rPr>
          <w:sz w:val="6"/>
        </w:rPr>
      </w:pPr>
    </w:p>
    <w:p w14:paraId="1116182E"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072A5451" w14:textId="77777777">
        <w:tc>
          <w:tcPr>
            <w:tcW w:w="720" w:type="dxa"/>
            <w:noWrap/>
            <w:tcMar>
              <w:right w:w="80" w:type="dxa"/>
            </w:tcMar>
          </w:tcPr>
          <w:p w14:paraId="17AA4EFE" w14:textId="77777777" w:rsidR="0028101B" w:rsidRDefault="00D446B3">
            <w:pPr>
              <w:rPr>
                <w:sz w:val="22"/>
              </w:rPr>
            </w:pPr>
            <w:r>
              <w:rPr>
                <w:sz w:val="22"/>
              </w:rPr>
              <w:t>(34)</w:t>
            </w:r>
          </w:p>
        </w:tc>
        <w:tc>
          <w:tcPr>
            <w:tcW w:w="0" w:type="auto"/>
            <w:tcMar>
              <w:right w:w="80" w:type="dxa"/>
            </w:tcMar>
          </w:tcPr>
          <w:p w14:paraId="7BA5152D" w14:textId="77777777" w:rsidR="0028101B" w:rsidRDefault="00D446B3">
            <w:pPr>
              <w:rPr>
                <w:sz w:val="22"/>
              </w:rPr>
            </w:pPr>
            <w:r>
              <w:rPr>
                <w:sz w:val="22"/>
              </w:rPr>
              <w:t xml:space="preserve">Styremedlemmene oppfylte sine plikter etter </w:t>
            </w:r>
            <w:hyperlink r:id="rId12" w:anchor="reference/lov/1997-06-13-44/§10-3" w:history="1">
              <w:r>
                <w:rPr>
                  <w:sz w:val="22"/>
                </w:rPr>
                <w:t>aksjeloven § 10-3</w:t>
              </w:r>
            </w:hyperlink>
            <w:r>
              <w:rPr>
                <w:sz w:val="22"/>
              </w:rPr>
              <w:t>. At det ikke ble avholdt formelt styremøte, hadde ingen betydning.</w:t>
            </w:r>
          </w:p>
        </w:tc>
      </w:tr>
    </w:tbl>
    <w:p w14:paraId="7DF1495D" w14:textId="77777777" w:rsidR="0028101B" w:rsidRDefault="0028101B">
      <w:pPr>
        <w:rPr>
          <w:sz w:val="6"/>
        </w:rPr>
      </w:pPr>
    </w:p>
    <w:p w14:paraId="2C987FDB"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74D9A17" w14:textId="77777777">
        <w:tc>
          <w:tcPr>
            <w:tcW w:w="720" w:type="dxa"/>
            <w:noWrap/>
            <w:tcMar>
              <w:right w:w="80" w:type="dxa"/>
            </w:tcMar>
          </w:tcPr>
          <w:p w14:paraId="716DACD4" w14:textId="77777777" w:rsidR="0028101B" w:rsidRDefault="00D446B3">
            <w:pPr>
              <w:rPr>
                <w:sz w:val="22"/>
              </w:rPr>
            </w:pPr>
            <w:r>
              <w:rPr>
                <w:sz w:val="22"/>
              </w:rPr>
              <w:t>(35)</w:t>
            </w:r>
          </w:p>
        </w:tc>
        <w:tc>
          <w:tcPr>
            <w:tcW w:w="0" w:type="auto"/>
            <w:tcMar>
              <w:right w:w="80" w:type="dxa"/>
            </w:tcMar>
          </w:tcPr>
          <w:p w14:paraId="178C2AAB" w14:textId="77777777" w:rsidR="0028101B" w:rsidRDefault="00D446B3">
            <w:pPr>
              <w:rPr>
                <w:sz w:val="22"/>
              </w:rPr>
            </w:pPr>
            <w:r>
              <w:rPr>
                <w:sz w:val="22"/>
              </w:rPr>
              <w:t>Tidsnære bevis viser at styremedlemmene ikke ga feil, mangelfull eller misvisende informasjon eller at det ble holdt tilbake vesentlig informasjon. Prognosene og estimatene var forsvarlige og bygget på den informasjonen styremedlemmene hadde på det daværende tidspunktet. At det i ettertid viste seg at disse skyldtes en feilvurdering og var for optimistiske, kan de ikke holdes erstatningsansvarlige for.</w:t>
            </w:r>
          </w:p>
        </w:tc>
      </w:tr>
    </w:tbl>
    <w:p w14:paraId="771D587E" w14:textId="77777777" w:rsidR="0028101B" w:rsidRDefault="0028101B">
      <w:pPr>
        <w:rPr>
          <w:sz w:val="6"/>
        </w:rPr>
      </w:pPr>
    </w:p>
    <w:p w14:paraId="3BD8C898"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DE08855" w14:textId="77777777">
        <w:tc>
          <w:tcPr>
            <w:tcW w:w="720" w:type="dxa"/>
            <w:noWrap/>
            <w:tcMar>
              <w:right w:w="80" w:type="dxa"/>
            </w:tcMar>
          </w:tcPr>
          <w:p w14:paraId="06943B93" w14:textId="77777777" w:rsidR="0028101B" w:rsidRDefault="00D446B3">
            <w:pPr>
              <w:rPr>
                <w:sz w:val="22"/>
              </w:rPr>
            </w:pPr>
            <w:r>
              <w:rPr>
                <w:sz w:val="22"/>
              </w:rPr>
              <w:t>(36)</w:t>
            </w:r>
          </w:p>
        </w:tc>
        <w:tc>
          <w:tcPr>
            <w:tcW w:w="0" w:type="auto"/>
            <w:tcMar>
              <w:right w:w="80" w:type="dxa"/>
            </w:tcMar>
          </w:tcPr>
          <w:p w14:paraId="7FBE2D65" w14:textId="77777777" w:rsidR="0028101B" w:rsidRDefault="00D446B3">
            <w:pPr>
              <w:rPr>
                <w:sz w:val="22"/>
              </w:rPr>
            </w:pPr>
            <w:r>
              <w:rPr>
                <w:sz w:val="22"/>
              </w:rPr>
              <w:t xml:space="preserve">Subsidiært gjøres det gjeldende at kravet til </w:t>
            </w:r>
            <w:r>
              <w:rPr>
                <w:sz w:val="22"/>
              </w:rPr>
              <w:t>årsakssammenheng uansett ikke er oppfylt. Investorene ville investert også når eventuelle informasjonsmangler tenkes borte. De foretok selv grundige vurderinger, og de var klar over både den økonomiske og tekniske risikoen ved investeringen, og at de investerte i et oppstartsselskap. De påståtte manglene ved informasjonen er uansett såpass ubetydelige at det ikke er grunnlag for å knytte ansvar til dem.</w:t>
            </w:r>
          </w:p>
        </w:tc>
      </w:tr>
    </w:tbl>
    <w:p w14:paraId="69DAFC78" w14:textId="77777777" w:rsidR="0028101B" w:rsidRDefault="0028101B">
      <w:pPr>
        <w:rPr>
          <w:sz w:val="6"/>
        </w:rPr>
      </w:pPr>
    </w:p>
    <w:p w14:paraId="11146E66"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4C10DD9" w14:textId="77777777">
        <w:tc>
          <w:tcPr>
            <w:tcW w:w="720" w:type="dxa"/>
            <w:noWrap/>
            <w:tcMar>
              <w:right w:w="80" w:type="dxa"/>
            </w:tcMar>
          </w:tcPr>
          <w:p w14:paraId="57DBFA9F" w14:textId="77777777" w:rsidR="0028101B" w:rsidRDefault="00D446B3">
            <w:pPr>
              <w:rPr>
                <w:sz w:val="22"/>
              </w:rPr>
            </w:pPr>
            <w:r>
              <w:rPr>
                <w:sz w:val="22"/>
              </w:rPr>
              <w:t>(37)</w:t>
            </w:r>
          </w:p>
        </w:tc>
        <w:tc>
          <w:tcPr>
            <w:tcW w:w="0" w:type="auto"/>
            <w:tcMar>
              <w:right w:w="80" w:type="dxa"/>
            </w:tcMar>
          </w:tcPr>
          <w:p w14:paraId="2D2A8F1D" w14:textId="77777777" w:rsidR="0028101B" w:rsidRDefault="00D446B3">
            <w:pPr>
              <w:rPr>
                <w:sz w:val="22"/>
              </w:rPr>
            </w:pPr>
            <w:r>
              <w:rPr>
                <w:sz w:val="22"/>
              </w:rPr>
              <w:t xml:space="preserve">Investorene iverksatte bevisst rettslige skritt som medførte konkurs. Erstatningen må derfor falle bort </w:t>
            </w:r>
            <w:r>
              <w:rPr>
                <w:sz w:val="22"/>
              </w:rPr>
              <w:lastRenderedPageBreak/>
              <w:t xml:space="preserve">eller reduseres, jf. </w:t>
            </w:r>
            <w:hyperlink r:id="rId13" w:anchor="reference/lov/1969-06-13-26/§5-1" w:history="1">
              <w:r>
                <w:rPr>
                  <w:sz w:val="22"/>
                </w:rPr>
                <w:t>skadeserstatningsloven § 5-1</w:t>
              </w:r>
            </w:hyperlink>
            <w:r>
              <w:rPr>
                <w:sz w:val="22"/>
              </w:rPr>
              <w:t>.</w:t>
            </w:r>
          </w:p>
        </w:tc>
      </w:tr>
    </w:tbl>
    <w:p w14:paraId="0D3D0E29" w14:textId="77777777" w:rsidR="0028101B" w:rsidRDefault="0028101B">
      <w:pPr>
        <w:rPr>
          <w:sz w:val="6"/>
        </w:rPr>
      </w:pPr>
    </w:p>
    <w:p w14:paraId="7A54E394"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28101B" w14:paraId="599D66EA" w14:textId="77777777">
        <w:tc>
          <w:tcPr>
            <w:tcW w:w="720" w:type="dxa"/>
            <w:noWrap/>
            <w:tcMar>
              <w:right w:w="80" w:type="dxa"/>
            </w:tcMar>
          </w:tcPr>
          <w:p w14:paraId="25AB96CF" w14:textId="77777777" w:rsidR="0028101B" w:rsidRDefault="00D446B3">
            <w:pPr>
              <w:rPr>
                <w:sz w:val="22"/>
              </w:rPr>
            </w:pPr>
            <w:r>
              <w:rPr>
                <w:sz w:val="22"/>
              </w:rPr>
              <w:t>(38)</w:t>
            </w:r>
          </w:p>
        </w:tc>
        <w:tc>
          <w:tcPr>
            <w:tcW w:w="0" w:type="auto"/>
            <w:tcMar>
              <w:right w:w="80" w:type="dxa"/>
            </w:tcMar>
          </w:tcPr>
          <w:p w14:paraId="42C5485C" w14:textId="77777777" w:rsidR="0028101B" w:rsidRDefault="00D446B3">
            <w:pPr>
              <w:rPr>
                <w:sz w:val="6"/>
              </w:rPr>
            </w:pPr>
            <w:r>
              <w:rPr>
                <w:sz w:val="22"/>
              </w:rPr>
              <w:t>F og E har nedlagt slik påstand:</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6DAF64D4" w14:textId="77777777">
              <w:tc>
                <w:tcPr>
                  <w:tcW w:w="1440" w:type="dxa"/>
                  <w:noWrap/>
                  <w:tcMar>
                    <w:right w:w="80" w:type="dxa"/>
                  </w:tcMar>
                </w:tcPr>
                <w:p w14:paraId="2575BE00" w14:textId="77777777" w:rsidR="0028101B" w:rsidRDefault="00D446B3">
                  <w:pPr>
                    <w:jc w:val="right"/>
                    <w:rPr>
                      <w:sz w:val="22"/>
                    </w:rPr>
                  </w:pPr>
                  <w:r>
                    <w:rPr>
                      <w:sz w:val="22"/>
                    </w:rPr>
                    <w:t>«1.</w:t>
                  </w:r>
                </w:p>
              </w:tc>
              <w:tc>
                <w:tcPr>
                  <w:tcW w:w="8066" w:type="dxa"/>
                  <w:noWrap/>
                  <w:tcMar>
                    <w:right w:w="80" w:type="dxa"/>
                  </w:tcMar>
                </w:tcPr>
                <w:p w14:paraId="3106D1E7" w14:textId="77777777" w:rsidR="0028101B" w:rsidRDefault="00D446B3">
                  <w:pPr>
                    <w:rPr>
                      <w:sz w:val="22"/>
                    </w:rPr>
                  </w:pPr>
                  <w:r>
                    <w:rPr>
                      <w:sz w:val="22"/>
                    </w:rPr>
                    <w:t>F og E frifinnes.</w:t>
                  </w:r>
                </w:p>
              </w:tc>
            </w:tr>
          </w:tbl>
          <w:p w14:paraId="7CBC1804" w14:textId="77777777" w:rsidR="0028101B" w:rsidRDefault="0028101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40"/>
              <w:gridCol w:w="8066"/>
            </w:tblGrid>
            <w:tr w:rsidR="0028101B" w14:paraId="5C39C036" w14:textId="77777777">
              <w:tc>
                <w:tcPr>
                  <w:tcW w:w="1440" w:type="dxa"/>
                  <w:noWrap/>
                  <w:tcMar>
                    <w:right w:w="80" w:type="dxa"/>
                  </w:tcMar>
                </w:tcPr>
                <w:p w14:paraId="56F24D29" w14:textId="77777777" w:rsidR="0028101B" w:rsidRDefault="00D446B3">
                  <w:pPr>
                    <w:jc w:val="right"/>
                    <w:rPr>
                      <w:sz w:val="22"/>
                    </w:rPr>
                  </w:pPr>
                  <w:r>
                    <w:rPr>
                      <w:sz w:val="22"/>
                    </w:rPr>
                    <w:t>2.</w:t>
                  </w:r>
                </w:p>
              </w:tc>
              <w:tc>
                <w:tcPr>
                  <w:tcW w:w="8066" w:type="dxa"/>
                  <w:noWrap/>
                  <w:tcMar>
                    <w:right w:w="80" w:type="dxa"/>
                  </w:tcMar>
                </w:tcPr>
                <w:p w14:paraId="2886F38A" w14:textId="77777777" w:rsidR="0028101B" w:rsidRDefault="00D446B3">
                  <w:pPr>
                    <w:rPr>
                      <w:sz w:val="22"/>
                    </w:rPr>
                  </w:pPr>
                  <w:r>
                    <w:rPr>
                      <w:sz w:val="22"/>
                    </w:rPr>
                    <w:t xml:space="preserve">H.M. </w:t>
                  </w:r>
                  <w:proofErr w:type="spellStart"/>
                  <w:r>
                    <w:rPr>
                      <w:sz w:val="22"/>
                    </w:rPr>
                    <w:t>Structures</w:t>
                  </w:r>
                  <w:proofErr w:type="spellEnd"/>
                  <w:r>
                    <w:rPr>
                      <w:sz w:val="22"/>
                    </w:rPr>
                    <w:t xml:space="preserve"> Limited og D dømmes i fellesskap til å erstatte sakskostnader til F og E for tingrett, lagmannsrett og Høyesterett.»</w:t>
                  </w:r>
                </w:p>
              </w:tc>
            </w:tr>
          </w:tbl>
          <w:p w14:paraId="2E8FB19C" w14:textId="77777777" w:rsidR="0028101B" w:rsidRDefault="0028101B">
            <w:pPr>
              <w:rPr>
                <w:sz w:val="22"/>
              </w:rPr>
            </w:pPr>
          </w:p>
        </w:tc>
      </w:tr>
    </w:tbl>
    <w:p w14:paraId="06821686" w14:textId="77777777" w:rsidR="0028101B" w:rsidRDefault="0028101B">
      <w:pPr>
        <w:rPr>
          <w:sz w:val="22"/>
        </w:rPr>
      </w:pPr>
      <w:bookmarkStart w:id="5" w:name="KAPITTEL_4"/>
      <w:bookmarkEnd w:id="4"/>
    </w:p>
    <w:p w14:paraId="47A6BB4A" w14:textId="77777777" w:rsidR="0028101B" w:rsidRDefault="0028101B">
      <w:pPr>
        <w:rPr>
          <w:sz w:val="22"/>
        </w:rPr>
      </w:pPr>
    </w:p>
    <w:p w14:paraId="626BF0F4" w14:textId="77777777" w:rsidR="0028101B" w:rsidRDefault="0028101B">
      <w:pPr>
        <w:rPr>
          <w:sz w:val="22"/>
        </w:rPr>
      </w:pPr>
    </w:p>
    <w:p w14:paraId="6207B022" w14:textId="77777777" w:rsidR="0028101B" w:rsidRDefault="00D446B3">
      <w:pPr>
        <w:pStyle w:val="Overskrift2"/>
        <w:spacing w:before="0" w:after="0"/>
      </w:pPr>
      <w:r>
        <w:t>Mitt syn på saken</w:t>
      </w:r>
    </w:p>
    <w:p w14:paraId="5BFCECFB"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48240BC1" w14:textId="77777777">
        <w:tc>
          <w:tcPr>
            <w:tcW w:w="720" w:type="dxa"/>
            <w:noWrap/>
            <w:tcMar>
              <w:right w:w="80" w:type="dxa"/>
            </w:tcMar>
          </w:tcPr>
          <w:p w14:paraId="111C30DA" w14:textId="77777777" w:rsidR="0028101B" w:rsidRDefault="00D446B3">
            <w:pPr>
              <w:rPr>
                <w:sz w:val="22"/>
              </w:rPr>
            </w:pPr>
            <w:r>
              <w:rPr>
                <w:sz w:val="22"/>
              </w:rPr>
              <w:t>(39)</w:t>
            </w:r>
          </w:p>
        </w:tc>
        <w:tc>
          <w:tcPr>
            <w:tcW w:w="0" w:type="auto"/>
            <w:tcMar>
              <w:right w:w="80" w:type="dxa"/>
            </w:tcMar>
          </w:tcPr>
          <w:p w14:paraId="018AE29B" w14:textId="77777777" w:rsidR="0028101B" w:rsidRDefault="00D446B3">
            <w:pPr>
              <w:rPr>
                <w:sz w:val="22"/>
              </w:rPr>
            </w:pPr>
            <w:r>
              <w:rPr>
                <w:sz w:val="22"/>
              </w:rPr>
              <w:t>Spørsmålet er om styremedlemmene F og E</w:t>
            </w:r>
            <w:r>
              <w:rPr>
                <w:sz w:val="22"/>
              </w:rPr>
              <w:t xml:space="preserve"> kan holdes erstatningsansvarlige overfor investorene som følge av at det ble gitt uriktig, villedende eller mangelfull informasjon i forbindelse med kapitalutvidelsen i aksjeselskapet </w:t>
            </w:r>
            <w:proofErr w:type="spellStart"/>
            <w:r>
              <w:rPr>
                <w:sz w:val="22"/>
              </w:rPr>
              <w:t>Spiro</w:t>
            </w:r>
            <w:proofErr w:type="spellEnd"/>
            <w:r>
              <w:rPr>
                <w:sz w:val="22"/>
              </w:rPr>
              <w:t xml:space="preserve"> 22. august 2014.</w:t>
            </w:r>
          </w:p>
        </w:tc>
      </w:tr>
    </w:tbl>
    <w:p w14:paraId="29E3D4D7" w14:textId="77777777" w:rsidR="0028101B" w:rsidRDefault="0028101B">
      <w:pPr>
        <w:rPr>
          <w:sz w:val="22"/>
        </w:rPr>
      </w:pPr>
      <w:bookmarkStart w:id="6" w:name="KAPITTEL_4-1"/>
    </w:p>
    <w:p w14:paraId="2469065D" w14:textId="77777777" w:rsidR="0028101B" w:rsidRDefault="00D446B3">
      <w:pPr>
        <w:rPr>
          <w:sz w:val="22"/>
        </w:rPr>
      </w:pPr>
      <w:r>
        <w:rPr>
          <w:sz w:val="22"/>
        </w:rPr>
        <w:br/>
      </w:r>
    </w:p>
    <w:p w14:paraId="6C25D17C" w14:textId="77777777" w:rsidR="0028101B" w:rsidRDefault="00D446B3">
      <w:pPr>
        <w:pStyle w:val="Overskrift3"/>
        <w:spacing w:before="0" w:after="0"/>
      </w:pPr>
      <w:r>
        <w:t>Rettslige utgangspunkter</w:t>
      </w:r>
      <w:bookmarkStart w:id="7" w:name="KAPITTEL_4-1-1"/>
    </w:p>
    <w:p w14:paraId="01E268A1" w14:textId="77777777" w:rsidR="0028101B" w:rsidRDefault="00D446B3">
      <w:pPr>
        <w:rPr>
          <w:sz w:val="22"/>
        </w:rPr>
      </w:pPr>
      <w:r>
        <w:rPr>
          <w:sz w:val="22"/>
        </w:rPr>
        <w:br/>
      </w:r>
    </w:p>
    <w:p w14:paraId="65D48F39" w14:textId="77777777" w:rsidR="0028101B" w:rsidRDefault="00D446B3">
      <w:pPr>
        <w:pStyle w:val="Overskrift4"/>
        <w:spacing w:before="0" w:after="0"/>
      </w:pPr>
      <w:r>
        <w:t>Aksjeloven § 17-1</w:t>
      </w:r>
    </w:p>
    <w:p w14:paraId="26877A64"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F377CD3" w14:textId="77777777">
        <w:tc>
          <w:tcPr>
            <w:tcW w:w="720" w:type="dxa"/>
            <w:noWrap/>
            <w:tcMar>
              <w:right w:w="80" w:type="dxa"/>
            </w:tcMar>
          </w:tcPr>
          <w:p w14:paraId="366F2266" w14:textId="77777777" w:rsidR="0028101B" w:rsidRDefault="00D446B3">
            <w:pPr>
              <w:rPr>
                <w:sz w:val="22"/>
              </w:rPr>
            </w:pPr>
            <w:r>
              <w:rPr>
                <w:sz w:val="22"/>
              </w:rPr>
              <w:t>(40)</w:t>
            </w:r>
          </w:p>
        </w:tc>
        <w:tc>
          <w:tcPr>
            <w:tcW w:w="0" w:type="auto"/>
            <w:tcMar>
              <w:right w:w="80" w:type="dxa"/>
            </w:tcMar>
          </w:tcPr>
          <w:p w14:paraId="60877540" w14:textId="77777777" w:rsidR="0028101B" w:rsidRDefault="00D446B3">
            <w:pPr>
              <w:rPr>
                <w:sz w:val="6"/>
              </w:rPr>
            </w:pPr>
            <w:r>
              <w:rPr>
                <w:sz w:val="22"/>
              </w:rPr>
              <w:t xml:space="preserve">Vilkårene for personlig ansvar for styremedlemmer i aksjeselskaper følger av </w:t>
            </w:r>
            <w:hyperlink r:id="rId14" w:anchor="reference/lov/1997-06-13-44/§17-1" w:history="1">
              <w:r>
                <w:rPr>
                  <w:sz w:val="22"/>
                </w:rPr>
                <w:t>aksjeloven § 17-1</w:t>
              </w:r>
            </w:hyperlink>
            <w:r>
              <w:rPr>
                <w:sz w:val="22"/>
              </w:rPr>
              <w:t xml:space="preserve"> første ledd, som lyder:</w:t>
            </w:r>
          </w:p>
          <w:p w14:paraId="47A9FC0E" w14:textId="77777777" w:rsidR="0028101B" w:rsidRDefault="00D446B3">
            <w:pPr>
              <w:spacing w:before="120"/>
              <w:ind w:left="1080"/>
              <w:rPr>
                <w:sz w:val="22"/>
              </w:rPr>
            </w:pPr>
            <w:r>
              <w:rPr>
                <w:sz w:val="22"/>
              </w:rPr>
              <w:t>«Selskapet, aksjeeier eller andre kan kreve at daglig leder, styremedlem, medlem av bedriftsforsamlingen, gransker eller aksjeeier erstatter skade som de i den nevnte egenskap forsettlig eller uaktsomt har voldt vedkommende.»</w:t>
            </w:r>
          </w:p>
        </w:tc>
      </w:tr>
    </w:tbl>
    <w:p w14:paraId="6EBC9F63" w14:textId="77777777" w:rsidR="0028101B" w:rsidRDefault="0028101B">
      <w:pPr>
        <w:rPr>
          <w:sz w:val="6"/>
        </w:rPr>
      </w:pPr>
    </w:p>
    <w:p w14:paraId="553B9904"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A1F9AED" w14:textId="77777777">
        <w:tc>
          <w:tcPr>
            <w:tcW w:w="720" w:type="dxa"/>
            <w:noWrap/>
            <w:tcMar>
              <w:right w:w="80" w:type="dxa"/>
            </w:tcMar>
          </w:tcPr>
          <w:p w14:paraId="6A6A18A0" w14:textId="77777777" w:rsidR="0028101B" w:rsidRDefault="00D446B3">
            <w:pPr>
              <w:rPr>
                <w:sz w:val="22"/>
              </w:rPr>
            </w:pPr>
            <w:r>
              <w:rPr>
                <w:sz w:val="22"/>
              </w:rPr>
              <w:t>(41)</w:t>
            </w:r>
          </w:p>
        </w:tc>
        <w:tc>
          <w:tcPr>
            <w:tcW w:w="0" w:type="auto"/>
            <w:tcMar>
              <w:right w:w="80" w:type="dxa"/>
            </w:tcMar>
          </w:tcPr>
          <w:p w14:paraId="033F9ABB" w14:textId="77777777" w:rsidR="0028101B" w:rsidRDefault="00D446B3">
            <w:pPr>
              <w:rPr>
                <w:sz w:val="22"/>
              </w:rPr>
            </w:pPr>
            <w:r>
              <w:rPr>
                <w:sz w:val="22"/>
              </w:rPr>
              <w:t xml:space="preserve">Uaktsomhetsnormen inneholder både et </w:t>
            </w:r>
            <w:r>
              <w:rPr>
                <w:sz w:val="22"/>
              </w:rPr>
              <w:t>objektivt og et subjektivt element. Det må objektivt sett foreligge et pliktbrudd som kan bebreides styremedlemmet som uaktsomt. Ansvarsspørsmålet oppstår typisk som følge av beslutninger truffet av styret som organ eller for beslutninger styret har unnlatt å treffe. Regelen innebærer likevel ikke at styret blir kollektivt ansvarlig for eventuelle feil. Ansvaret er individuelt, og det må foretas en konkret vurdering av det enkelte styremedlems handlinger eller unnlatelser.</w:t>
            </w:r>
          </w:p>
        </w:tc>
      </w:tr>
    </w:tbl>
    <w:p w14:paraId="69874945" w14:textId="77777777" w:rsidR="0028101B" w:rsidRDefault="0028101B">
      <w:pPr>
        <w:rPr>
          <w:sz w:val="6"/>
        </w:rPr>
      </w:pPr>
    </w:p>
    <w:p w14:paraId="0612BE60"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ACA39CC" w14:textId="77777777">
        <w:tc>
          <w:tcPr>
            <w:tcW w:w="720" w:type="dxa"/>
            <w:noWrap/>
            <w:tcMar>
              <w:right w:w="80" w:type="dxa"/>
            </w:tcMar>
          </w:tcPr>
          <w:p w14:paraId="181E2858" w14:textId="77777777" w:rsidR="0028101B" w:rsidRDefault="00D446B3">
            <w:pPr>
              <w:rPr>
                <w:sz w:val="22"/>
              </w:rPr>
            </w:pPr>
            <w:r>
              <w:rPr>
                <w:sz w:val="22"/>
              </w:rPr>
              <w:t>(42)</w:t>
            </w:r>
          </w:p>
        </w:tc>
        <w:tc>
          <w:tcPr>
            <w:tcW w:w="0" w:type="auto"/>
            <w:tcMar>
              <w:right w:w="80" w:type="dxa"/>
            </w:tcMar>
          </w:tcPr>
          <w:p w14:paraId="57FE65AD" w14:textId="77777777" w:rsidR="0028101B" w:rsidRDefault="00D446B3">
            <w:pPr>
              <w:rPr>
                <w:sz w:val="6"/>
              </w:rPr>
            </w:pPr>
            <w:r>
              <w:rPr>
                <w:sz w:val="22"/>
              </w:rPr>
              <w:t xml:space="preserve">Om </w:t>
            </w:r>
            <w:hyperlink r:id="rId15" w:anchor="reference/lov/1997-06-13-44/§17-1" w:history="1">
              <w:r>
                <w:rPr>
                  <w:sz w:val="22"/>
                </w:rPr>
                <w:t>aksjeloven § 17-1</w:t>
              </w:r>
            </w:hyperlink>
            <w:r>
              <w:rPr>
                <w:sz w:val="22"/>
              </w:rPr>
              <w:t xml:space="preserve"> første ledd heter det i </w:t>
            </w:r>
            <w:hyperlink r:id="rId16" w:anchor="reference/avgjorelse/hr-2017-2375-a" w:history="1">
              <w:r>
                <w:rPr>
                  <w:sz w:val="22"/>
                </w:rPr>
                <w:t>HR-2017-2375-A</w:t>
              </w:r>
            </w:hyperlink>
            <w:r>
              <w:rPr>
                <w:sz w:val="22"/>
              </w:rPr>
              <w:t xml:space="preserve"> </w:t>
            </w:r>
            <w:proofErr w:type="spellStart"/>
            <w:r>
              <w:rPr>
                <w:i/>
                <w:sz w:val="22"/>
              </w:rPr>
              <w:t>Ulvesund</w:t>
            </w:r>
            <w:proofErr w:type="spellEnd"/>
            <w:r>
              <w:rPr>
                <w:sz w:val="22"/>
              </w:rPr>
              <w:t xml:space="preserve"> </w:t>
            </w:r>
            <w:hyperlink r:id="rId17" w:anchor="reference/avgjorelse/hr-2017-2375-a/a25" w:history="1">
              <w:r>
                <w:rPr>
                  <w:sz w:val="22"/>
                </w:rPr>
                <w:t>avsnitt 25</w:t>
              </w:r>
            </w:hyperlink>
            <w:r>
              <w:rPr>
                <w:sz w:val="22"/>
              </w:rPr>
              <w:t>:</w:t>
            </w:r>
          </w:p>
          <w:p w14:paraId="558F700B" w14:textId="77777777" w:rsidR="0028101B" w:rsidRDefault="00D446B3">
            <w:pPr>
              <w:spacing w:before="120"/>
              <w:ind w:left="1080"/>
              <w:rPr>
                <w:sz w:val="22"/>
              </w:rPr>
            </w:pPr>
            <w:r>
              <w:rPr>
                <w:sz w:val="22"/>
              </w:rPr>
              <w:t xml:space="preserve">«Bestemmelsen er en særlig regulering av den alminnelige erstatningsrettslige culpanormen, og den omfatter også krav om erstatning for et rent formuestap hos en kreditor, jf. </w:t>
            </w:r>
            <w:hyperlink r:id="rId18" w:anchor="reference/forarbeid/otprp-55-200506/s167" w:history="1">
              <w:r>
                <w:rPr>
                  <w:sz w:val="22"/>
                </w:rPr>
                <w:t>Ot.prp.nr.55 (2005–2006) side 167</w:t>
              </w:r>
            </w:hyperlink>
            <w:r>
              <w:rPr>
                <w:sz w:val="22"/>
              </w:rPr>
              <w:t xml:space="preserve">. Den viderefører </w:t>
            </w:r>
            <w:hyperlink r:id="rId19" w:anchor="reference/lov/1976-06-04-59/§15-1" w:history="1">
              <w:r>
                <w:rPr>
                  <w:sz w:val="22"/>
                </w:rPr>
                <w:t>§ 15-1 i aksjeloven 1976</w:t>
              </w:r>
            </w:hyperlink>
            <w:r>
              <w:rPr>
                <w:sz w:val="22"/>
              </w:rPr>
              <w:t xml:space="preserve">. Lovgiver har ansett en slik 'generell' og 'skjønnsmessig' regel som 'ønskelig og nødvendig', fordi dette gir 'en stor grad av fleksibilitet' og legger opp til at ansvarsspørsmålet 'må løses ut fra en konkret vurdering av forholdene i det enkelte tilfellet', jf. </w:t>
            </w:r>
            <w:hyperlink r:id="rId20" w:anchor="reference/forarbeid/otprp-36-199394/s82" w:history="1">
              <w:r>
                <w:rPr>
                  <w:sz w:val="22"/>
                </w:rPr>
                <w:t>Ot.prp.nr.36 (1993–1994) side 82</w:t>
              </w:r>
            </w:hyperlink>
            <w:r>
              <w:rPr>
                <w:sz w:val="22"/>
              </w:rPr>
              <w:t>. Ønsket om fleksibilitet, og forutsetningen om at det skal foretas en konkret vurdering i det enkelte tilfellet, er ikke til hinder for at det i rettspraksis foretas en avklarende presisering av normen for bestemte typetilfeller.»</w:t>
            </w:r>
          </w:p>
        </w:tc>
      </w:tr>
    </w:tbl>
    <w:p w14:paraId="3B184537" w14:textId="77777777" w:rsidR="0028101B" w:rsidRDefault="0028101B">
      <w:pPr>
        <w:rPr>
          <w:sz w:val="6"/>
        </w:rPr>
      </w:pPr>
    </w:p>
    <w:p w14:paraId="2D241D6F"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F8C78E1" w14:textId="77777777">
        <w:tc>
          <w:tcPr>
            <w:tcW w:w="720" w:type="dxa"/>
            <w:noWrap/>
            <w:tcMar>
              <w:right w:w="80" w:type="dxa"/>
            </w:tcMar>
          </w:tcPr>
          <w:p w14:paraId="5D89E59E" w14:textId="77777777" w:rsidR="0028101B" w:rsidRDefault="00D446B3">
            <w:pPr>
              <w:rPr>
                <w:sz w:val="22"/>
              </w:rPr>
            </w:pPr>
            <w:r>
              <w:rPr>
                <w:sz w:val="22"/>
              </w:rPr>
              <w:t>(43)</w:t>
            </w:r>
          </w:p>
        </w:tc>
        <w:tc>
          <w:tcPr>
            <w:tcW w:w="0" w:type="auto"/>
            <w:tcMar>
              <w:right w:w="80" w:type="dxa"/>
            </w:tcMar>
          </w:tcPr>
          <w:p w14:paraId="0E3AC461" w14:textId="77777777" w:rsidR="0028101B" w:rsidRDefault="00D446B3">
            <w:pPr>
              <w:rPr>
                <w:sz w:val="22"/>
              </w:rPr>
            </w:pPr>
            <w:r>
              <w:rPr>
                <w:sz w:val="22"/>
              </w:rPr>
              <w:t xml:space="preserve">Det fremgår her at </w:t>
            </w:r>
            <w:hyperlink r:id="rId21" w:anchor="reference/lov/1997-06-13-44/§17-1" w:history="1">
              <w:r>
                <w:rPr>
                  <w:sz w:val="22"/>
                </w:rPr>
                <w:t>aksjeloven § 17-1</w:t>
              </w:r>
            </w:hyperlink>
            <w:r>
              <w:rPr>
                <w:sz w:val="22"/>
              </w:rPr>
              <w:t xml:space="preserve"> er en lovfesting av det ulovfestede culpaansvaret. Bestemmelsen er generelt og skjønnsmessig utformet for å gi en tilstrekkelig grad av fleksibilitet. Men selv om det skal foretas en konkret vurdering i det enkelte tilfelle, kan domstolene likevel foreta en avklarende presisering av normen som gjelder i bestemte typetilfeller. Jeg viser til at Høyesterett i </w:t>
            </w:r>
            <w:proofErr w:type="spellStart"/>
            <w:r>
              <w:rPr>
                <w:i/>
                <w:sz w:val="22"/>
              </w:rPr>
              <w:t>Ulvesund</w:t>
            </w:r>
            <w:proofErr w:type="spellEnd"/>
            <w:r>
              <w:rPr>
                <w:sz w:val="22"/>
              </w:rPr>
              <w:t xml:space="preserve"> nettopp foretok en slik avklaring av normen som gjelder ledelsens ansvar for å informere kreditorene om selskapets sviktende økonomi, jf. særl</w:t>
            </w:r>
            <w:r>
              <w:rPr>
                <w:sz w:val="22"/>
              </w:rPr>
              <w:t xml:space="preserve">ig </w:t>
            </w:r>
            <w:hyperlink r:id="rId22" w:anchor="reference/avgjorelse/hr-2017-2375-a/a40" w:history="1">
              <w:r>
                <w:rPr>
                  <w:sz w:val="22"/>
                </w:rPr>
                <w:t>avsnitt 40-42</w:t>
              </w:r>
            </w:hyperlink>
            <w:r>
              <w:rPr>
                <w:sz w:val="22"/>
              </w:rPr>
              <w:t>.</w:t>
            </w:r>
          </w:p>
        </w:tc>
      </w:tr>
    </w:tbl>
    <w:p w14:paraId="4B06400E" w14:textId="77777777" w:rsidR="0028101B" w:rsidRDefault="0028101B">
      <w:pPr>
        <w:rPr>
          <w:sz w:val="6"/>
        </w:rPr>
      </w:pPr>
    </w:p>
    <w:p w14:paraId="49D43DB7"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F5F7F80" w14:textId="77777777">
        <w:tc>
          <w:tcPr>
            <w:tcW w:w="720" w:type="dxa"/>
            <w:noWrap/>
            <w:tcMar>
              <w:right w:w="80" w:type="dxa"/>
            </w:tcMar>
          </w:tcPr>
          <w:p w14:paraId="6E506D25" w14:textId="77777777" w:rsidR="0028101B" w:rsidRDefault="00D446B3">
            <w:pPr>
              <w:rPr>
                <w:sz w:val="22"/>
              </w:rPr>
            </w:pPr>
            <w:r>
              <w:rPr>
                <w:sz w:val="22"/>
              </w:rPr>
              <w:lastRenderedPageBreak/>
              <w:t>(44)</w:t>
            </w:r>
          </w:p>
        </w:tc>
        <w:tc>
          <w:tcPr>
            <w:tcW w:w="0" w:type="auto"/>
            <w:tcMar>
              <w:right w:w="80" w:type="dxa"/>
            </w:tcMar>
          </w:tcPr>
          <w:p w14:paraId="1E781237" w14:textId="77777777" w:rsidR="0028101B" w:rsidRDefault="00D446B3">
            <w:pPr>
              <w:rPr>
                <w:sz w:val="22"/>
              </w:rPr>
            </w:pPr>
            <w:r>
              <w:rPr>
                <w:sz w:val="22"/>
              </w:rPr>
              <w:t xml:space="preserve">Hvorvidt det gjelder en lempelig eller streng norm, kan ikke </w:t>
            </w:r>
            <w:r>
              <w:rPr>
                <w:sz w:val="22"/>
              </w:rPr>
              <w:t>besvares generelt. Svaret avhenger av typetilfellet, men også av de konkrete omstendighetene i den enkelte saken.</w:t>
            </w:r>
          </w:p>
        </w:tc>
      </w:tr>
    </w:tbl>
    <w:p w14:paraId="0DAB4232" w14:textId="77777777" w:rsidR="0028101B" w:rsidRDefault="0028101B">
      <w:pPr>
        <w:rPr>
          <w:sz w:val="22"/>
        </w:rPr>
      </w:pPr>
      <w:bookmarkStart w:id="8" w:name="KAPITTEL_4-1-2"/>
      <w:bookmarkEnd w:id="7"/>
    </w:p>
    <w:p w14:paraId="7E1732D4" w14:textId="77777777" w:rsidR="0028101B" w:rsidRDefault="00D446B3">
      <w:pPr>
        <w:rPr>
          <w:sz w:val="22"/>
        </w:rPr>
      </w:pPr>
      <w:r>
        <w:rPr>
          <w:sz w:val="22"/>
        </w:rPr>
        <w:br/>
      </w:r>
    </w:p>
    <w:p w14:paraId="5B05F7D5" w14:textId="77777777" w:rsidR="0028101B" w:rsidRDefault="00D446B3">
      <w:pPr>
        <w:pStyle w:val="Overskrift4"/>
        <w:spacing w:before="0" w:after="0"/>
      </w:pPr>
      <w:r>
        <w:t>Styremedlemmenes informasjonsansvar ved aksjekapitalutvidelser</w:t>
      </w:r>
    </w:p>
    <w:p w14:paraId="0F019A4C"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7458342" w14:textId="77777777">
        <w:tc>
          <w:tcPr>
            <w:tcW w:w="720" w:type="dxa"/>
            <w:noWrap/>
            <w:tcMar>
              <w:right w:w="80" w:type="dxa"/>
            </w:tcMar>
          </w:tcPr>
          <w:p w14:paraId="4B890903" w14:textId="77777777" w:rsidR="0028101B" w:rsidRDefault="00D446B3">
            <w:pPr>
              <w:rPr>
                <w:sz w:val="22"/>
              </w:rPr>
            </w:pPr>
            <w:r>
              <w:rPr>
                <w:sz w:val="22"/>
              </w:rPr>
              <w:t>(45)</w:t>
            </w:r>
          </w:p>
        </w:tc>
        <w:tc>
          <w:tcPr>
            <w:tcW w:w="0" w:type="auto"/>
            <w:tcMar>
              <w:right w:w="80" w:type="dxa"/>
            </w:tcMar>
          </w:tcPr>
          <w:p w14:paraId="632B82CB" w14:textId="77777777" w:rsidR="0028101B" w:rsidRDefault="00D446B3">
            <w:pPr>
              <w:rPr>
                <w:sz w:val="22"/>
              </w:rPr>
            </w:pPr>
            <w:r>
              <w:rPr>
                <w:sz w:val="22"/>
              </w:rPr>
              <w:t xml:space="preserve">De alminnelige avtalerettslige reglene gjelder som utgangspunkt ved aksjetegning, selv om den avtalerettslige og den selskapsrettslige reguleringen – særlig av hensyn til tredjemann – ikke alltid blir den samme, jf. </w:t>
            </w:r>
            <w:hyperlink r:id="rId23" w:anchor="reference/avgjorelse/hr-2018-111-a/a34" w:history="1">
              <w:r>
                <w:rPr>
                  <w:sz w:val="22"/>
                </w:rPr>
                <w:t>HR-2018-111-A særlig avsnitt 34</w:t>
              </w:r>
            </w:hyperlink>
            <w:r>
              <w:rPr>
                <w:sz w:val="22"/>
              </w:rPr>
              <w:t xml:space="preserve"> med videre henvisning til Magnus Aarbakke, </w:t>
            </w:r>
            <w:r>
              <w:rPr>
                <w:i/>
                <w:sz w:val="22"/>
              </w:rPr>
              <w:t>Aksjetegning. Ugyldighet, mislighold og ansvar</w:t>
            </w:r>
            <w:r>
              <w:rPr>
                <w:sz w:val="22"/>
              </w:rPr>
              <w:t xml:space="preserve">, </w:t>
            </w:r>
            <w:hyperlink r:id="rId24" w:anchor="reference/litteratur/aarbakke-m-1989-01" w:history="1">
              <w:r>
                <w:rPr>
                  <w:sz w:val="22"/>
                </w:rPr>
                <w:t>Tidsskrift for Rettsvitenskap 1989/3, side 333-358</w:t>
              </w:r>
            </w:hyperlink>
            <w:r>
              <w:rPr>
                <w:sz w:val="22"/>
              </w:rPr>
              <w:t xml:space="preserve"> og </w:t>
            </w:r>
            <w:hyperlink r:id="rId25" w:anchor="reference/avgjorelse/hr-2018-111-a/a46" w:history="1">
              <w:r>
                <w:rPr>
                  <w:sz w:val="22"/>
                </w:rPr>
                <w:t>avsnitt 46</w:t>
              </w:r>
            </w:hyperlink>
            <w:r>
              <w:rPr>
                <w:sz w:val="22"/>
              </w:rPr>
              <w:t>.</w:t>
            </w:r>
          </w:p>
        </w:tc>
      </w:tr>
    </w:tbl>
    <w:p w14:paraId="60C948D3" w14:textId="77777777" w:rsidR="0028101B" w:rsidRDefault="0028101B">
      <w:pPr>
        <w:rPr>
          <w:sz w:val="6"/>
        </w:rPr>
      </w:pPr>
    </w:p>
    <w:p w14:paraId="24FBBC4B"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BEC094A" w14:textId="77777777">
        <w:tc>
          <w:tcPr>
            <w:tcW w:w="720" w:type="dxa"/>
            <w:noWrap/>
            <w:tcMar>
              <w:right w:w="80" w:type="dxa"/>
            </w:tcMar>
          </w:tcPr>
          <w:p w14:paraId="68734377" w14:textId="77777777" w:rsidR="0028101B" w:rsidRDefault="00D446B3">
            <w:pPr>
              <w:rPr>
                <w:sz w:val="22"/>
              </w:rPr>
            </w:pPr>
            <w:r>
              <w:rPr>
                <w:sz w:val="22"/>
              </w:rPr>
              <w:t>(46)</w:t>
            </w:r>
          </w:p>
        </w:tc>
        <w:tc>
          <w:tcPr>
            <w:tcW w:w="0" w:type="auto"/>
            <w:tcMar>
              <w:right w:w="80" w:type="dxa"/>
            </w:tcMar>
          </w:tcPr>
          <w:p w14:paraId="28F00B3E" w14:textId="77777777" w:rsidR="0028101B" w:rsidRDefault="00D446B3">
            <w:pPr>
              <w:rPr>
                <w:sz w:val="22"/>
              </w:rPr>
            </w:pPr>
            <w:r>
              <w:rPr>
                <w:sz w:val="22"/>
              </w:rPr>
              <w:t xml:space="preserve">Begge parter har vist til at </w:t>
            </w:r>
            <w:hyperlink r:id="rId26" w:anchor="reference/avgjorelse/hr-2012-436-a" w:history="1">
              <w:r>
                <w:rPr>
                  <w:sz w:val="22"/>
                </w:rPr>
                <w:t>Rt-2012-355</w:t>
              </w:r>
            </w:hyperlink>
            <w:r>
              <w:rPr>
                <w:sz w:val="22"/>
              </w:rPr>
              <w:t xml:space="preserve"> </w:t>
            </w:r>
            <w:r>
              <w:rPr>
                <w:i/>
                <w:sz w:val="22"/>
              </w:rPr>
              <w:t>Lognvik,</w:t>
            </w:r>
            <w:r>
              <w:rPr>
                <w:sz w:val="22"/>
              </w:rPr>
              <w:t xml:space="preserve"> </w:t>
            </w:r>
            <w:hyperlink r:id="rId27" w:anchor="reference/avgjorelse/hr-2012-2382-a" w:history="1">
              <w:r>
                <w:rPr>
                  <w:sz w:val="22"/>
                </w:rPr>
                <w:t>Rt-2012-1926</w:t>
              </w:r>
            </w:hyperlink>
            <w:r>
              <w:rPr>
                <w:sz w:val="22"/>
              </w:rPr>
              <w:t xml:space="preserve"> </w:t>
            </w:r>
            <w:r>
              <w:rPr>
                <w:i/>
                <w:sz w:val="22"/>
              </w:rPr>
              <w:t>Fokus Bank</w:t>
            </w:r>
            <w:r>
              <w:rPr>
                <w:sz w:val="22"/>
              </w:rPr>
              <w:t xml:space="preserve"> og </w:t>
            </w:r>
            <w:hyperlink r:id="rId28" w:anchor="reference/avgjorelse/hr-2013-642-s" w:history="1">
              <w:r>
                <w:rPr>
                  <w:sz w:val="22"/>
                </w:rPr>
                <w:t>Rt-2013-388</w:t>
              </w:r>
            </w:hyperlink>
            <w:r>
              <w:rPr>
                <w:sz w:val="22"/>
              </w:rPr>
              <w:t xml:space="preserve"> </w:t>
            </w:r>
            <w:proofErr w:type="spellStart"/>
            <w:r>
              <w:rPr>
                <w:i/>
                <w:sz w:val="22"/>
              </w:rPr>
              <w:t>Røeggen</w:t>
            </w:r>
            <w:proofErr w:type="spellEnd"/>
            <w:r>
              <w:rPr>
                <w:sz w:val="22"/>
              </w:rPr>
              <w:t xml:space="preserve"> gir veiledning for bedømmelsen av styremedlemmenes informasjonsansvar ved aksjekapitalutvidelser. Sakene gjaldt gyldigheten av avtaler mellom banker og deres kunder om kjøp av kompliserte spareprodukter. Spørsmålet var om det var gitt mangelfull, villedende eller uriktig informasjon om produktene kundene hadde investert i.</w:t>
            </w:r>
          </w:p>
        </w:tc>
      </w:tr>
    </w:tbl>
    <w:p w14:paraId="492D2576" w14:textId="77777777" w:rsidR="0028101B" w:rsidRDefault="0028101B">
      <w:pPr>
        <w:rPr>
          <w:sz w:val="6"/>
        </w:rPr>
      </w:pPr>
    </w:p>
    <w:p w14:paraId="640307F1"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C240AA9" w14:textId="77777777">
        <w:tc>
          <w:tcPr>
            <w:tcW w:w="720" w:type="dxa"/>
            <w:noWrap/>
            <w:tcMar>
              <w:right w:w="80" w:type="dxa"/>
            </w:tcMar>
          </w:tcPr>
          <w:p w14:paraId="63548DDA" w14:textId="77777777" w:rsidR="0028101B" w:rsidRDefault="00D446B3">
            <w:pPr>
              <w:rPr>
                <w:sz w:val="22"/>
              </w:rPr>
            </w:pPr>
            <w:r>
              <w:rPr>
                <w:sz w:val="22"/>
              </w:rPr>
              <w:t>(47)</w:t>
            </w:r>
          </w:p>
        </w:tc>
        <w:tc>
          <w:tcPr>
            <w:tcW w:w="0" w:type="auto"/>
            <w:tcMar>
              <w:right w:w="80" w:type="dxa"/>
            </w:tcMar>
          </w:tcPr>
          <w:p w14:paraId="3DD2D437" w14:textId="77777777" w:rsidR="0028101B" w:rsidRDefault="00D446B3">
            <w:pPr>
              <w:rPr>
                <w:sz w:val="22"/>
              </w:rPr>
            </w:pPr>
            <w:r>
              <w:rPr>
                <w:sz w:val="22"/>
              </w:rPr>
              <w:t xml:space="preserve">Jeg er enig i at ugyldighetsreglene i </w:t>
            </w:r>
            <w:hyperlink r:id="rId29" w:anchor="reference/lov/1918-05-31-4/§33" w:history="1">
              <w:r>
                <w:rPr>
                  <w:sz w:val="22"/>
                </w:rPr>
                <w:t>avtaleloven §§ 33</w:t>
              </w:r>
            </w:hyperlink>
            <w:r>
              <w:rPr>
                <w:sz w:val="22"/>
              </w:rPr>
              <w:t xml:space="preserve"> og </w:t>
            </w:r>
            <w:hyperlink r:id="rId30" w:anchor="reference/lov/1918-05-31-4/§36" w:history="1">
              <w:r>
                <w:rPr>
                  <w:sz w:val="22"/>
                </w:rPr>
                <w:t>36</w:t>
              </w:r>
            </w:hyperlink>
            <w:r>
              <w:rPr>
                <w:sz w:val="22"/>
              </w:rPr>
              <w:t xml:space="preserve"> gir en viss veiledning for fastlegging av hvilken norm som gjelder for styremedlemmenes erstatningsansvar ved kapitalutvidelser. Saksforholdet i disse dommene var imidlertid et annet enn ved kapitalutvidelser i aksjeselskap. Dommene gjaldt til dels bankens markedsføring over tid av produkter mot en rekke kunder som sto i et tillitsforhold til banken, og kundene var dessuten i hovedsak forbrukere. Den nærmere betydning av bankdommene og investorenes profesjonalitet kommer jeg tilbake til.</w:t>
            </w:r>
          </w:p>
        </w:tc>
      </w:tr>
    </w:tbl>
    <w:p w14:paraId="6DB9D693" w14:textId="77777777" w:rsidR="0028101B" w:rsidRDefault="0028101B">
      <w:pPr>
        <w:rPr>
          <w:sz w:val="6"/>
        </w:rPr>
      </w:pPr>
    </w:p>
    <w:p w14:paraId="0D69B5CC"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267A14D8" w14:textId="77777777">
        <w:tc>
          <w:tcPr>
            <w:tcW w:w="720" w:type="dxa"/>
            <w:noWrap/>
            <w:tcMar>
              <w:right w:w="80" w:type="dxa"/>
            </w:tcMar>
          </w:tcPr>
          <w:p w14:paraId="2B701845" w14:textId="77777777" w:rsidR="0028101B" w:rsidRDefault="00D446B3">
            <w:pPr>
              <w:rPr>
                <w:sz w:val="22"/>
              </w:rPr>
            </w:pPr>
            <w:r>
              <w:rPr>
                <w:sz w:val="22"/>
              </w:rPr>
              <w:t>(48)</w:t>
            </w:r>
          </w:p>
        </w:tc>
        <w:tc>
          <w:tcPr>
            <w:tcW w:w="0" w:type="auto"/>
            <w:tcMar>
              <w:right w:w="80" w:type="dxa"/>
            </w:tcMar>
          </w:tcPr>
          <w:p w14:paraId="065FDBA6" w14:textId="77777777" w:rsidR="0028101B" w:rsidRDefault="00D446B3">
            <w:pPr>
              <w:rPr>
                <w:sz w:val="22"/>
              </w:rPr>
            </w:pPr>
            <w:r>
              <w:rPr>
                <w:sz w:val="22"/>
              </w:rPr>
              <w:t>Kontrakten om aksjetegning inngås mellom selskapet og aksjetegnerne. Styremedlemmene står ikke i et kontraktsforhold til investorene. Erstatningskrav mot styret er særlig aktuelt etter at kapitalforhøyelsen er registrert. Etter dette tidspunktet er omverdenen gjort kjent med at selskapet er tilført ny egenkapital. Erstatningsregler rettet mot selskapet kunne da vært en trussel mot interessene til kreditorene og andre tredjemenn. Det er derfor behov for å beskytte selskapet mot erstatningskrav basert på krit</w:t>
            </w:r>
            <w:r>
              <w:rPr>
                <w:sz w:val="22"/>
              </w:rPr>
              <w:t xml:space="preserve">ikkverdige forhold ved aksjetegningen, jf. Aarbakkes artikkel på </w:t>
            </w:r>
            <w:hyperlink r:id="rId31" w:anchor="reference/litteratur/aarbakke-m-1989-01/s337" w:history="1">
              <w:r>
                <w:rPr>
                  <w:sz w:val="22"/>
                </w:rPr>
                <w:t>side 337</w:t>
              </w:r>
            </w:hyperlink>
            <w:r>
              <w:rPr>
                <w:sz w:val="22"/>
              </w:rPr>
              <w:t>.</w:t>
            </w:r>
          </w:p>
        </w:tc>
      </w:tr>
    </w:tbl>
    <w:p w14:paraId="347E7C62" w14:textId="77777777" w:rsidR="0028101B" w:rsidRDefault="0028101B">
      <w:pPr>
        <w:rPr>
          <w:sz w:val="6"/>
        </w:rPr>
      </w:pPr>
    </w:p>
    <w:p w14:paraId="7376943D"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FA22B4D" w14:textId="77777777">
        <w:tc>
          <w:tcPr>
            <w:tcW w:w="720" w:type="dxa"/>
            <w:noWrap/>
            <w:tcMar>
              <w:right w:w="80" w:type="dxa"/>
            </w:tcMar>
          </w:tcPr>
          <w:p w14:paraId="2721E3CB" w14:textId="77777777" w:rsidR="0028101B" w:rsidRDefault="00D446B3">
            <w:pPr>
              <w:rPr>
                <w:sz w:val="22"/>
              </w:rPr>
            </w:pPr>
            <w:r>
              <w:rPr>
                <w:sz w:val="22"/>
              </w:rPr>
              <w:t>(49)</w:t>
            </w:r>
          </w:p>
        </w:tc>
        <w:tc>
          <w:tcPr>
            <w:tcW w:w="0" w:type="auto"/>
            <w:tcMar>
              <w:right w:w="80" w:type="dxa"/>
            </w:tcMar>
          </w:tcPr>
          <w:p w14:paraId="5A2CB17F" w14:textId="77777777" w:rsidR="0028101B" w:rsidRDefault="00D446B3">
            <w:pPr>
              <w:rPr>
                <w:sz w:val="22"/>
              </w:rPr>
            </w:pPr>
            <w:r>
              <w:rPr>
                <w:sz w:val="22"/>
              </w:rPr>
              <w:t xml:space="preserve">Jeg viser også til at styret har et overordnet ansvar for at opplysningene investorene får, er korrekte. Et generalforsamlingsvedtak om kapitalforhøyelse er betinget av et forslag fra styret, jf. </w:t>
            </w:r>
            <w:hyperlink r:id="rId32" w:anchor="reference/lov/1997-06-13-44/§10-3" w:history="1">
              <w:r>
                <w:rPr>
                  <w:sz w:val="22"/>
                </w:rPr>
                <w:t>aksjeloven § 10-3</w:t>
              </w:r>
            </w:hyperlink>
            <w:r>
              <w:rPr>
                <w:sz w:val="22"/>
              </w:rPr>
              <w:t xml:space="preserve">, jf. </w:t>
            </w:r>
            <w:hyperlink r:id="rId33" w:anchor="reference/lov/1997-06-13-44/§10-1" w:history="1">
              <w:r>
                <w:rPr>
                  <w:sz w:val="22"/>
                </w:rPr>
                <w:t>§§ 10-1</w:t>
              </w:r>
            </w:hyperlink>
            <w:r>
              <w:rPr>
                <w:sz w:val="22"/>
              </w:rPr>
              <w:t xml:space="preserve"> og </w:t>
            </w:r>
            <w:hyperlink r:id="rId34" w:anchor="reference/lov/1997-06-13-44/§10-2" w:history="1">
              <w:r>
                <w:rPr>
                  <w:sz w:val="22"/>
                </w:rPr>
                <w:t>10-2</w:t>
              </w:r>
            </w:hyperlink>
            <w:r>
              <w:rPr>
                <w:sz w:val="22"/>
              </w:rPr>
              <w:t>.</w:t>
            </w:r>
          </w:p>
        </w:tc>
      </w:tr>
    </w:tbl>
    <w:p w14:paraId="0B6424D5" w14:textId="77777777" w:rsidR="0028101B" w:rsidRDefault="0028101B">
      <w:pPr>
        <w:rPr>
          <w:sz w:val="6"/>
        </w:rPr>
      </w:pPr>
    </w:p>
    <w:p w14:paraId="1BE5BC99"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0A68C3D" w14:textId="77777777">
        <w:tc>
          <w:tcPr>
            <w:tcW w:w="720" w:type="dxa"/>
            <w:noWrap/>
            <w:tcMar>
              <w:right w:w="80" w:type="dxa"/>
            </w:tcMar>
          </w:tcPr>
          <w:p w14:paraId="5780FC6B" w14:textId="77777777" w:rsidR="0028101B" w:rsidRDefault="00D446B3">
            <w:pPr>
              <w:rPr>
                <w:sz w:val="22"/>
              </w:rPr>
            </w:pPr>
            <w:r>
              <w:rPr>
                <w:sz w:val="22"/>
              </w:rPr>
              <w:t>(50)</w:t>
            </w:r>
          </w:p>
        </w:tc>
        <w:tc>
          <w:tcPr>
            <w:tcW w:w="0" w:type="auto"/>
            <w:tcMar>
              <w:right w:w="80" w:type="dxa"/>
            </w:tcMar>
          </w:tcPr>
          <w:p w14:paraId="0A606F9D" w14:textId="77777777" w:rsidR="0028101B" w:rsidRDefault="00D446B3">
            <w:pPr>
              <w:rPr>
                <w:sz w:val="22"/>
              </w:rPr>
            </w:pPr>
            <w:r>
              <w:rPr>
                <w:sz w:val="22"/>
              </w:rPr>
              <w:t xml:space="preserve">Ved offentlige tilbud om å tegne aksjer, gjelder det en plikt til å utarbeide prospekt når det samlede vederlaget overstiger en angitt beløpsgrense over en periode på 12 måneder, jf. </w:t>
            </w:r>
            <w:hyperlink r:id="rId35" w:anchor="reference/lov/2007-06-29-75/§7-5" w:history="1">
              <w:r>
                <w:rPr>
                  <w:sz w:val="22"/>
                </w:rPr>
                <w:t>verdipapirhandelloven § 7-5</w:t>
              </w:r>
            </w:hyperlink>
            <w:r>
              <w:rPr>
                <w:sz w:val="22"/>
              </w:rPr>
              <w:t xml:space="preserve">. Kravene til opplysninger i prospektet kan gi en viss veiledning for opplysningsplikten i private emisjoner. I </w:t>
            </w:r>
            <w:hyperlink r:id="rId36" w:anchor="reference/lov/2007-06-29-75/§7-7" w:history="1">
              <w:r>
                <w:rPr>
                  <w:sz w:val="22"/>
                </w:rPr>
                <w:t>verdipapirhandelloven § 7-7</w:t>
              </w:r>
            </w:hyperlink>
            <w:r>
              <w:rPr>
                <w:sz w:val="22"/>
              </w:rPr>
              <w:t xml:space="preserve"> første ledd heter det at nasjonale prospekter «skal inneholde opplysninger som er nødvendige for at investorene skal kunne foreta en velfundert vurdering av utstederens ... økonomiske stilling og utsikter», og at «[o]</w:t>
            </w:r>
            <w:proofErr w:type="spellStart"/>
            <w:r>
              <w:rPr>
                <w:sz w:val="22"/>
              </w:rPr>
              <w:t>pplysningene</w:t>
            </w:r>
            <w:proofErr w:type="spellEnd"/>
            <w:r>
              <w:rPr>
                <w:sz w:val="22"/>
              </w:rPr>
              <w:t xml:space="preserve"> skal fremstilles i en kortfattet, lett forståelig og analyserbar form».</w:t>
            </w:r>
          </w:p>
        </w:tc>
      </w:tr>
    </w:tbl>
    <w:p w14:paraId="005ECE77" w14:textId="77777777" w:rsidR="0028101B" w:rsidRDefault="0028101B">
      <w:pPr>
        <w:rPr>
          <w:sz w:val="6"/>
        </w:rPr>
      </w:pPr>
    </w:p>
    <w:p w14:paraId="50235796"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CE0A131" w14:textId="77777777">
        <w:tc>
          <w:tcPr>
            <w:tcW w:w="720" w:type="dxa"/>
            <w:noWrap/>
            <w:tcMar>
              <w:right w:w="80" w:type="dxa"/>
            </w:tcMar>
          </w:tcPr>
          <w:p w14:paraId="76E403B6" w14:textId="77777777" w:rsidR="0028101B" w:rsidRDefault="00D446B3">
            <w:pPr>
              <w:rPr>
                <w:sz w:val="22"/>
              </w:rPr>
            </w:pPr>
            <w:r>
              <w:rPr>
                <w:sz w:val="22"/>
              </w:rPr>
              <w:t>(51)</w:t>
            </w:r>
          </w:p>
        </w:tc>
        <w:tc>
          <w:tcPr>
            <w:tcW w:w="0" w:type="auto"/>
            <w:tcMar>
              <w:right w:w="80" w:type="dxa"/>
            </w:tcMar>
          </w:tcPr>
          <w:p w14:paraId="246F4CC3" w14:textId="77777777" w:rsidR="0028101B" w:rsidRDefault="00D446B3">
            <w:pPr>
              <w:rPr>
                <w:sz w:val="22"/>
              </w:rPr>
            </w:pPr>
            <w:r>
              <w:rPr>
                <w:sz w:val="22"/>
              </w:rPr>
              <w:t xml:space="preserve">Styremedlemmene har under henvisning til </w:t>
            </w:r>
            <w:r>
              <w:rPr>
                <w:i/>
                <w:sz w:val="22"/>
              </w:rPr>
              <w:t>Lognvik</w:t>
            </w:r>
            <w:r>
              <w:rPr>
                <w:sz w:val="22"/>
              </w:rPr>
              <w:t xml:space="preserve"> </w:t>
            </w:r>
            <w:hyperlink r:id="rId37" w:anchor="reference/avgjorelse/hr-2012-436-a/a68" w:history="1">
              <w:r>
                <w:rPr>
                  <w:sz w:val="22"/>
                </w:rPr>
                <w:t>avsnitt 68-69</w:t>
              </w:r>
            </w:hyperlink>
            <w:r>
              <w:rPr>
                <w:sz w:val="22"/>
              </w:rPr>
              <w:t xml:space="preserve"> og </w:t>
            </w:r>
            <w:r>
              <w:rPr>
                <w:i/>
                <w:sz w:val="22"/>
              </w:rPr>
              <w:t>Fokus Bank</w:t>
            </w:r>
            <w:r>
              <w:rPr>
                <w:sz w:val="22"/>
              </w:rPr>
              <w:t xml:space="preserve"> </w:t>
            </w:r>
            <w:hyperlink r:id="rId38" w:anchor="reference/avgjorelse/hr-2012-2382-a/a45" w:history="1">
              <w:r>
                <w:rPr>
                  <w:sz w:val="22"/>
                </w:rPr>
                <w:t>avsnitt 45-46</w:t>
              </w:r>
            </w:hyperlink>
            <w:r>
              <w:rPr>
                <w:sz w:val="22"/>
              </w:rPr>
              <w:t xml:space="preserve"> gjort gjeldende at det må oppstilles et krav om </w:t>
            </w:r>
            <w:r>
              <w:rPr>
                <w:i/>
                <w:sz w:val="22"/>
              </w:rPr>
              <w:t>kvalifiserte mangler</w:t>
            </w:r>
            <w:r>
              <w:rPr>
                <w:sz w:val="22"/>
              </w:rPr>
              <w:t xml:space="preserve"> ved den informasjon som gis for at styremedlemmene skal kunne holdes erstatningsansvarlige. Investorene anfører på sin side at høyesterettspraksis ikke gir grunnlag for en slik slutning.</w:t>
            </w:r>
          </w:p>
        </w:tc>
      </w:tr>
    </w:tbl>
    <w:p w14:paraId="3094B22A" w14:textId="77777777" w:rsidR="0028101B" w:rsidRDefault="0028101B">
      <w:pPr>
        <w:rPr>
          <w:sz w:val="6"/>
        </w:rPr>
      </w:pPr>
    </w:p>
    <w:p w14:paraId="5383B52C"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A026901" w14:textId="77777777">
        <w:tc>
          <w:tcPr>
            <w:tcW w:w="720" w:type="dxa"/>
            <w:noWrap/>
            <w:tcMar>
              <w:right w:w="80" w:type="dxa"/>
            </w:tcMar>
          </w:tcPr>
          <w:p w14:paraId="7ECA307F" w14:textId="77777777" w:rsidR="0028101B" w:rsidRDefault="00D446B3">
            <w:pPr>
              <w:rPr>
                <w:sz w:val="22"/>
              </w:rPr>
            </w:pPr>
            <w:r>
              <w:rPr>
                <w:sz w:val="22"/>
              </w:rPr>
              <w:t>(52)</w:t>
            </w:r>
          </w:p>
        </w:tc>
        <w:tc>
          <w:tcPr>
            <w:tcW w:w="0" w:type="auto"/>
            <w:tcMar>
              <w:right w:w="80" w:type="dxa"/>
            </w:tcMar>
          </w:tcPr>
          <w:p w14:paraId="2DB37E56" w14:textId="77777777" w:rsidR="0028101B" w:rsidRDefault="00D446B3">
            <w:pPr>
              <w:rPr>
                <w:sz w:val="22"/>
              </w:rPr>
            </w:pPr>
            <w:r>
              <w:rPr>
                <w:sz w:val="22"/>
              </w:rPr>
              <w:t xml:space="preserve">Etter min oppfatning kan det ikke uten videre oppstilles et krav om kvalifisert mangel dersom det er gitt positivt uriktige opplysninger om faktiske forhold. Selv om denne informasjonen i utgangspunktet må være korrekt, vil likevel ikke enhver feil eller utelatelse lede til erstatningansvar. For offentlige emisjoner følger det av </w:t>
            </w:r>
            <w:hyperlink r:id="rId39" w:anchor="reference/lov/2007-06-29-75/§7-7" w:history="1">
              <w:r>
                <w:rPr>
                  <w:sz w:val="22"/>
                </w:rPr>
                <w:t>verdipapirhandelloven § 7-7</w:t>
              </w:r>
            </w:hyperlink>
            <w:r>
              <w:rPr>
                <w:sz w:val="22"/>
              </w:rPr>
              <w:t xml:space="preserve">, som jeg nettopp har vist til, at selskapet ikke kan </w:t>
            </w:r>
            <w:r>
              <w:rPr>
                <w:sz w:val="22"/>
              </w:rPr>
              <w:lastRenderedPageBreak/>
              <w:t xml:space="preserve">pålegges å opplyse om enhver omstendighet av mindre betydning. Det må etter min mening også ved private emisjoner være en forutsetning at det dreier seg om feil eller utelatelser – som sett i lys av de øvrige opplysningene som er gitt og etter en samlet vurdering – er av </w:t>
            </w:r>
            <w:r>
              <w:rPr>
                <w:i/>
                <w:sz w:val="22"/>
              </w:rPr>
              <w:t>vesentlig betydning</w:t>
            </w:r>
            <w:r>
              <w:rPr>
                <w:sz w:val="22"/>
              </w:rPr>
              <w:t xml:space="preserve"> for bedømmelsen av selskapet. For å kunne foreta en slik samlet vurdering, må de enkelte opplysningene som regel først gjennomgås enkeltvis.</w:t>
            </w:r>
          </w:p>
        </w:tc>
      </w:tr>
    </w:tbl>
    <w:p w14:paraId="29833B4F" w14:textId="77777777" w:rsidR="0028101B" w:rsidRDefault="0028101B">
      <w:pPr>
        <w:rPr>
          <w:sz w:val="6"/>
        </w:rPr>
      </w:pPr>
    </w:p>
    <w:p w14:paraId="2A87076A"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0C35C802" w14:textId="77777777">
        <w:tc>
          <w:tcPr>
            <w:tcW w:w="720" w:type="dxa"/>
            <w:noWrap/>
            <w:tcMar>
              <w:right w:w="80" w:type="dxa"/>
            </w:tcMar>
          </w:tcPr>
          <w:p w14:paraId="19342C73" w14:textId="77777777" w:rsidR="0028101B" w:rsidRDefault="00D446B3">
            <w:pPr>
              <w:rPr>
                <w:sz w:val="22"/>
              </w:rPr>
            </w:pPr>
            <w:r>
              <w:rPr>
                <w:sz w:val="22"/>
              </w:rPr>
              <w:t>(53)</w:t>
            </w:r>
          </w:p>
        </w:tc>
        <w:tc>
          <w:tcPr>
            <w:tcW w:w="0" w:type="auto"/>
            <w:tcMar>
              <w:right w:w="80" w:type="dxa"/>
            </w:tcMar>
          </w:tcPr>
          <w:p w14:paraId="019A0170" w14:textId="77777777" w:rsidR="0028101B" w:rsidRDefault="00D446B3">
            <w:pPr>
              <w:rPr>
                <w:sz w:val="22"/>
              </w:rPr>
            </w:pPr>
            <w:r>
              <w:rPr>
                <w:sz w:val="22"/>
              </w:rPr>
              <w:t xml:space="preserve">Jeg nevner også at det må sondres mellom uriktig faktisk, historisk informasjon og prognoser og uttalelser om en forventet fremtidig utvikling. Investoren må som hovedregel «selv bære risikoen for egne forventninger om markedsutviklingen og lignende antagelser om fremtiden, så langt disse ikke er basert på villedende informasjon fra motparten», jf. tilsvarende synspunkter i </w:t>
            </w:r>
            <w:hyperlink r:id="rId40" w:anchor="reference/avgjorelse/hr-2013-642-s" w:history="1">
              <w:r>
                <w:rPr>
                  <w:sz w:val="22"/>
                </w:rPr>
                <w:t>Rt-2013-388</w:t>
              </w:r>
            </w:hyperlink>
            <w:r>
              <w:rPr>
                <w:sz w:val="22"/>
              </w:rPr>
              <w:t xml:space="preserve"> </w:t>
            </w:r>
            <w:proofErr w:type="spellStart"/>
            <w:r>
              <w:rPr>
                <w:i/>
                <w:sz w:val="22"/>
              </w:rPr>
              <w:t>Røeggen</w:t>
            </w:r>
            <w:proofErr w:type="spellEnd"/>
            <w:r>
              <w:rPr>
                <w:sz w:val="22"/>
              </w:rPr>
              <w:t xml:space="preserve"> </w:t>
            </w:r>
            <w:hyperlink r:id="rId41" w:anchor="reference/avgjorelse/hr-2013-642-s/a55" w:history="1">
              <w:r>
                <w:rPr>
                  <w:sz w:val="22"/>
                </w:rPr>
                <w:t>avsnitt 55</w:t>
              </w:r>
            </w:hyperlink>
            <w:r>
              <w:rPr>
                <w:sz w:val="22"/>
              </w:rPr>
              <w:t>. Terskelen for styremedlemmenes erstatningsansvar kan i alle fall ikke ligge lavere. Jeg minner om det jeg nettopp har sagt om saksforholdet i bankdommene.</w:t>
            </w:r>
          </w:p>
        </w:tc>
      </w:tr>
    </w:tbl>
    <w:p w14:paraId="0646AF8D" w14:textId="77777777" w:rsidR="0028101B" w:rsidRDefault="0028101B">
      <w:pPr>
        <w:rPr>
          <w:sz w:val="6"/>
        </w:rPr>
      </w:pPr>
    </w:p>
    <w:p w14:paraId="60C96363"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4D508ADA" w14:textId="77777777">
        <w:tc>
          <w:tcPr>
            <w:tcW w:w="720" w:type="dxa"/>
            <w:noWrap/>
            <w:tcMar>
              <w:right w:w="80" w:type="dxa"/>
            </w:tcMar>
          </w:tcPr>
          <w:p w14:paraId="28F6C723" w14:textId="77777777" w:rsidR="0028101B" w:rsidRDefault="00D446B3">
            <w:pPr>
              <w:rPr>
                <w:sz w:val="22"/>
              </w:rPr>
            </w:pPr>
            <w:r>
              <w:rPr>
                <w:sz w:val="22"/>
              </w:rPr>
              <w:t>(54)</w:t>
            </w:r>
          </w:p>
        </w:tc>
        <w:tc>
          <w:tcPr>
            <w:tcW w:w="0" w:type="auto"/>
            <w:tcMar>
              <w:right w:w="80" w:type="dxa"/>
            </w:tcMar>
          </w:tcPr>
          <w:p w14:paraId="1E4256BE" w14:textId="77777777" w:rsidR="0028101B" w:rsidRDefault="00D446B3">
            <w:pPr>
              <w:rPr>
                <w:sz w:val="6"/>
              </w:rPr>
            </w:pPr>
            <w:r>
              <w:rPr>
                <w:sz w:val="22"/>
              </w:rPr>
              <w:t xml:space="preserve">Ved fastleggingen av normen for styremedlemmenes erstatningsansvar har det betydning at lovgivningen gjennom aksjeselskapsformen gir adgang til en ansvarsbegrensning nettopp for risikofylte virksomheter. Det ligger derfor klart i styrets mandat at det innenfor rimelige grenser er akseptabelt å pådra selskapet risiko. Terskelen for i ettertid å holde styret ansvarlig for forretningsmessige feilvurderinger, er derfor høy, jf. </w:t>
            </w:r>
            <w:hyperlink r:id="rId42" w:anchor="reference/avgjorelse/rt-1991-119-26b" w:history="1">
              <w:r>
                <w:rPr>
                  <w:sz w:val="22"/>
                </w:rPr>
                <w:t>Rt-1991-119</w:t>
              </w:r>
            </w:hyperlink>
            <w:r>
              <w:rPr>
                <w:sz w:val="22"/>
              </w:rPr>
              <w:t xml:space="preserve"> </w:t>
            </w:r>
            <w:proofErr w:type="spellStart"/>
            <w:r>
              <w:rPr>
                <w:i/>
                <w:sz w:val="22"/>
              </w:rPr>
              <w:t>Normount</w:t>
            </w:r>
            <w:proofErr w:type="spellEnd"/>
            <w:r>
              <w:rPr>
                <w:i/>
                <w:sz w:val="22"/>
              </w:rPr>
              <w:t>.</w:t>
            </w:r>
            <w:r>
              <w:rPr>
                <w:sz w:val="22"/>
              </w:rPr>
              <w:t xml:space="preserve"> På </w:t>
            </w:r>
            <w:hyperlink r:id="rId43" w:anchor="reference/avgjorelse/rt-1991-119-26b/s127" w:history="1">
              <w:r>
                <w:rPr>
                  <w:sz w:val="22"/>
                </w:rPr>
                <w:t>side 127</w:t>
              </w:r>
            </w:hyperlink>
            <w:r>
              <w:rPr>
                <w:sz w:val="22"/>
              </w:rPr>
              <w:t xml:space="preserve"> heter det:</w:t>
            </w:r>
          </w:p>
          <w:p w14:paraId="7206865F" w14:textId="77777777" w:rsidR="0028101B" w:rsidRDefault="00D446B3">
            <w:pPr>
              <w:spacing w:before="120"/>
              <w:ind w:left="1080"/>
              <w:rPr>
                <w:sz w:val="6"/>
              </w:rPr>
            </w:pPr>
            <w:r>
              <w:rPr>
                <w:sz w:val="22"/>
              </w:rPr>
              <w:t xml:space="preserve">«Vel kan man kanskje si at styremedlemmene handlet ut fra en noe høy grad av </w:t>
            </w:r>
            <w:r>
              <w:rPr>
                <w:sz w:val="22"/>
              </w:rPr>
              <w:t xml:space="preserve">optimisme. Det må likevel sies å ligge en normal forretningsmessig vurdering til grunn for deres disposisjon. Jeg viser i denne forbindelse til det Bernhard </w:t>
            </w:r>
            <w:proofErr w:type="spellStart"/>
            <w:r>
              <w:rPr>
                <w:sz w:val="22"/>
              </w:rPr>
              <w:t>Gomard</w:t>
            </w:r>
            <w:proofErr w:type="spellEnd"/>
            <w:r>
              <w:rPr>
                <w:sz w:val="22"/>
              </w:rPr>
              <w:t xml:space="preserve"> uttaler på side 321 i tilknytning til de uttalelser jeg tidligere har referert: '...En </w:t>
            </w:r>
            <w:proofErr w:type="spellStart"/>
            <w:r>
              <w:rPr>
                <w:sz w:val="22"/>
              </w:rPr>
              <w:t>virksomheds</w:t>
            </w:r>
            <w:proofErr w:type="spellEnd"/>
            <w:r>
              <w:rPr>
                <w:sz w:val="22"/>
              </w:rPr>
              <w:t xml:space="preserve"> ledelse er imidlertid berettiget til at </w:t>
            </w:r>
            <w:proofErr w:type="spellStart"/>
            <w:r>
              <w:rPr>
                <w:sz w:val="22"/>
              </w:rPr>
              <w:t>kæmpe</w:t>
            </w:r>
            <w:proofErr w:type="spellEnd"/>
            <w:r>
              <w:rPr>
                <w:sz w:val="22"/>
              </w:rPr>
              <w:t xml:space="preserve"> for at bevare </w:t>
            </w:r>
            <w:proofErr w:type="spellStart"/>
            <w:r>
              <w:rPr>
                <w:sz w:val="22"/>
              </w:rPr>
              <w:t>selskabet</w:t>
            </w:r>
            <w:proofErr w:type="spellEnd"/>
            <w:r>
              <w:rPr>
                <w:sz w:val="22"/>
              </w:rPr>
              <w:t xml:space="preserve"> og for at </w:t>
            </w:r>
            <w:proofErr w:type="spellStart"/>
            <w:r>
              <w:rPr>
                <w:sz w:val="22"/>
              </w:rPr>
              <w:t>undgå</w:t>
            </w:r>
            <w:proofErr w:type="spellEnd"/>
            <w:r>
              <w:rPr>
                <w:sz w:val="22"/>
              </w:rPr>
              <w:t xml:space="preserve"> </w:t>
            </w:r>
            <w:proofErr w:type="spellStart"/>
            <w:r>
              <w:rPr>
                <w:sz w:val="22"/>
              </w:rPr>
              <w:t>betalingsstandsning</w:t>
            </w:r>
            <w:proofErr w:type="spellEnd"/>
            <w:r>
              <w:rPr>
                <w:sz w:val="22"/>
              </w:rPr>
              <w:t xml:space="preserve"> og konkurs, </w:t>
            </w:r>
            <w:proofErr w:type="spellStart"/>
            <w:r>
              <w:rPr>
                <w:sz w:val="22"/>
              </w:rPr>
              <w:t>sålænge</w:t>
            </w:r>
            <w:proofErr w:type="spellEnd"/>
            <w:r>
              <w:rPr>
                <w:sz w:val="22"/>
              </w:rPr>
              <w:t xml:space="preserve"> der er en rimelig </w:t>
            </w:r>
            <w:proofErr w:type="spellStart"/>
            <w:r>
              <w:rPr>
                <w:sz w:val="22"/>
              </w:rPr>
              <w:t>chance</w:t>
            </w:r>
            <w:proofErr w:type="spellEnd"/>
            <w:r>
              <w:rPr>
                <w:sz w:val="22"/>
              </w:rPr>
              <w:t xml:space="preserve"> for, at dette kan lykkes, og ledelser i denne </w:t>
            </w:r>
            <w:proofErr w:type="spellStart"/>
            <w:r>
              <w:rPr>
                <w:sz w:val="22"/>
              </w:rPr>
              <w:t>situation</w:t>
            </w:r>
            <w:proofErr w:type="spellEnd"/>
            <w:r>
              <w:rPr>
                <w:sz w:val="22"/>
              </w:rPr>
              <w:t xml:space="preserve"> er </w:t>
            </w:r>
            <w:proofErr w:type="spellStart"/>
            <w:r>
              <w:rPr>
                <w:sz w:val="22"/>
              </w:rPr>
              <w:t>blevet</w:t>
            </w:r>
            <w:proofErr w:type="spellEnd"/>
            <w:r>
              <w:rPr>
                <w:sz w:val="22"/>
              </w:rPr>
              <w:t xml:space="preserve"> </w:t>
            </w:r>
            <w:proofErr w:type="spellStart"/>
            <w:r>
              <w:rPr>
                <w:sz w:val="22"/>
              </w:rPr>
              <w:t>frifundet</w:t>
            </w:r>
            <w:proofErr w:type="spellEnd"/>
            <w:r>
              <w:rPr>
                <w:sz w:val="22"/>
              </w:rPr>
              <w:t xml:space="preserve">, også i </w:t>
            </w:r>
            <w:proofErr w:type="spellStart"/>
            <w:r>
              <w:rPr>
                <w:sz w:val="22"/>
              </w:rPr>
              <w:t>tilfælde</w:t>
            </w:r>
            <w:proofErr w:type="spellEnd"/>
            <w:r>
              <w:rPr>
                <w:sz w:val="22"/>
              </w:rPr>
              <w:t xml:space="preserve"> hvor </w:t>
            </w:r>
            <w:proofErr w:type="spellStart"/>
            <w:r>
              <w:rPr>
                <w:sz w:val="22"/>
              </w:rPr>
              <w:t>håbet</w:t>
            </w:r>
            <w:proofErr w:type="spellEnd"/>
            <w:r>
              <w:rPr>
                <w:sz w:val="22"/>
              </w:rPr>
              <w:t xml:space="preserve"> om at </w:t>
            </w:r>
            <w:proofErr w:type="spellStart"/>
            <w:r>
              <w:rPr>
                <w:sz w:val="22"/>
              </w:rPr>
              <w:t>selskabet</w:t>
            </w:r>
            <w:proofErr w:type="spellEnd"/>
            <w:r>
              <w:rPr>
                <w:sz w:val="22"/>
              </w:rPr>
              <w:t xml:space="preserve"> kunne ride stormen </w:t>
            </w:r>
            <w:proofErr w:type="spellStart"/>
            <w:r>
              <w:rPr>
                <w:sz w:val="22"/>
              </w:rPr>
              <w:t>af</w:t>
            </w:r>
            <w:proofErr w:type="spellEnd"/>
            <w:r>
              <w:rPr>
                <w:sz w:val="22"/>
              </w:rPr>
              <w:t>, måtte betegnes som spinkelt, men dog ikke helt urealistisk....'</w:t>
            </w:r>
          </w:p>
          <w:p w14:paraId="7F5DD20F" w14:textId="77777777" w:rsidR="0028101B" w:rsidRDefault="00D446B3">
            <w:pPr>
              <w:spacing w:before="120"/>
              <w:ind w:left="1080"/>
              <w:rPr>
                <w:sz w:val="22"/>
              </w:rPr>
            </w:pPr>
            <w:r>
              <w:rPr>
                <w:sz w:val="22"/>
              </w:rPr>
              <w:t xml:space="preserve">I vår sak kan jeg ikke se at Høyesterett har grunnlag for å betegne som urealistisk styrets håp om at man ved befraktningen av M/S 'ARAO' skulle lykkes i å snu utviklingen, eller i alle fall ikke lide større tap enn </w:t>
            </w:r>
            <w:proofErr w:type="spellStart"/>
            <w:r>
              <w:rPr>
                <w:sz w:val="22"/>
              </w:rPr>
              <w:t>Normount</w:t>
            </w:r>
            <w:proofErr w:type="spellEnd"/>
            <w:r>
              <w:rPr>
                <w:sz w:val="22"/>
              </w:rPr>
              <w:t xml:space="preserve"> kunne bære. Noen uforsvarlig spekulasjon på kreditorenes bekostning kan jeg ikke se foreligger.»</w:t>
            </w:r>
          </w:p>
        </w:tc>
      </w:tr>
    </w:tbl>
    <w:p w14:paraId="25EB9B59" w14:textId="77777777" w:rsidR="0028101B" w:rsidRDefault="0028101B">
      <w:pPr>
        <w:rPr>
          <w:sz w:val="6"/>
        </w:rPr>
      </w:pPr>
    </w:p>
    <w:p w14:paraId="5AB36A1D"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9890E7C" w14:textId="77777777">
        <w:tc>
          <w:tcPr>
            <w:tcW w:w="720" w:type="dxa"/>
            <w:noWrap/>
            <w:tcMar>
              <w:right w:w="80" w:type="dxa"/>
            </w:tcMar>
          </w:tcPr>
          <w:p w14:paraId="2FFAD100" w14:textId="77777777" w:rsidR="0028101B" w:rsidRDefault="00D446B3">
            <w:pPr>
              <w:rPr>
                <w:sz w:val="22"/>
              </w:rPr>
            </w:pPr>
            <w:r>
              <w:rPr>
                <w:sz w:val="22"/>
              </w:rPr>
              <w:t>(55)</w:t>
            </w:r>
          </w:p>
        </w:tc>
        <w:tc>
          <w:tcPr>
            <w:tcW w:w="0" w:type="auto"/>
            <w:tcMar>
              <w:right w:w="80" w:type="dxa"/>
            </w:tcMar>
          </w:tcPr>
          <w:p w14:paraId="4430A725" w14:textId="77777777" w:rsidR="0028101B" w:rsidRDefault="00D446B3">
            <w:pPr>
              <w:rPr>
                <w:sz w:val="22"/>
              </w:rPr>
            </w:pPr>
            <w:r>
              <w:rPr>
                <w:sz w:val="22"/>
              </w:rPr>
              <w:t xml:space="preserve">Dommen gjaldt riktignok en annen ansvarssituasjon enn i vår sak. </w:t>
            </w:r>
            <w:r>
              <w:rPr>
                <w:sz w:val="22"/>
              </w:rPr>
              <w:t>Spørsmålet der var om det var ansvarsbetingende uaktsomt av styret i et selskap med sviktende økonomi å inngå en ny kontrakt. Høyesterett utelukket ikke at styremedlemmer kan holdes erstatningsansvarlige dersom det er tatt for høy risiko, men det fremgår at det gjelder en høy terskel.</w:t>
            </w:r>
          </w:p>
        </w:tc>
      </w:tr>
    </w:tbl>
    <w:p w14:paraId="39FD6EEF" w14:textId="77777777" w:rsidR="0028101B" w:rsidRDefault="0028101B">
      <w:pPr>
        <w:rPr>
          <w:sz w:val="6"/>
        </w:rPr>
      </w:pPr>
    </w:p>
    <w:p w14:paraId="4A959007"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88EA1E8" w14:textId="77777777">
        <w:tc>
          <w:tcPr>
            <w:tcW w:w="720" w:type="dxa"/>
            <w:noWrap/>
            <w:tcMar>
              <w:right w:w="80" w:type="dxa"/>
            </w:tcMar>
          </w:tcPr>
          <w:p w14:paraId="66C34823" w14:textId="77777777" w:rsidR="0028101B" w:rsidRDefault="00D446B3">
            <w:pPr>
              <w:rPr>
                <w:sz w:val="22"/>
              </w:rPr>
            </w:pPr>
            <w:r>
              <w:rPr>
                <w:sz w:val="22"/>
              </w:rPr>
              <w:t>(56)</w:t>
            </w:r>
          </w:p>
        </w:tc>
        <w:tc>
          <w:tcPr>
            <w:tcW w:w="0" w:type="auto"/>
            <w:tcMar>
              <w:right w:w="80" w:type="dxa"/>
            </w:tcMar>
          </w:tcPr>
          <w:p w14:paraId="6CB3609F" w14:textId="77777777" w:rsidR="0028101B" w:rsidRDefault="00D446B3">
            <w:pPr>
              <w:rPr>
                <w:sz w:val="22"/>
              </w:rPr>
            </w:pPr>
            <w:r>
              <w:rPr>
                <w:sz w:val="22"/>
              </w:rPr>
              <w:t>Tilsvarende betraktninger er, slik jeg ser det, relevante også ved fastlegging av normen for styremedlemmenes erstatningsansvar ved emisjoner der det i ettertid viser seg at en prognose om forventet utvikling ikke slår til.</w:t>
            </w:r>
          </w:p>
        </w:tc>
      </w:tr>
    </w:tbl>
    <w:p w14:paraId="52E61BB8" w14:textId="77777777" w:rsidR="0028101B" w:rsidRDefault="0028101B">
      <w:pPr>
        <w:rPr>
          <w:sz w:val="6"/>
        </w:rPr>
      </w:pPr>
    </w:p>
    <w:p w14:paraId="60C244E6"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380A6F5" w14:textId="77777777">
        <w:tc>
          <w:tcPr>
            <w:tcW w:w="720" w:type="dxa"/>
            <w:noWrap/>
            <w:tcMar>
              <w:right w:w="80" w:type="dxa"/>
            </w:tcMar>
          </w:tcPr>
          <w:p w14:paraId="17DA0A57" w14:textId="77777777" w:rsidR="0028101B" w:rsidRDefault="00D446B3">
            <w:pPr>
              <w:rPr>
                <w:sz w:val="22"/>
              </w:rPr>
            </w:pPr>
            <w:r>
              <w:rPr>
                <w:sz w:val="22"/>
              </w:rPr>
              <w:t>(57)</w:t>
            </w:r>
          </w:p>
        </w:tc>
        <w:tc>
          <w:tcPr>
            <w:tcW w:w="0" w:type="auto"/>
            <w:tcMar>
              <w:right w:w="80" w:type="dxa"/>
            </w:tcMar>
          </w:tcPr>
          <w:p w14:paraId="22CB7CD4" w14:textId="77777777" w:rsidR="0028101B" w:rsidRDefault="00D446B3">
            <w:pPr>
              <w:rPr>
                <w:sz w:val="22"/>
              </w:rPr>
            </w:pPr>
            <w:r>
              <w:rPr>
                <w:sz w:val="22"/>
              </w:rPr>
              <w:t>Det vil også ha betydning om tegnerne er profesjonelle investorer, fordi disse må kunne forventes selv kritisk å vurdere relevante opplysninger og oppfatte risikosignaler ved emisjonen og i markedet for øvrig. Evnen til å forstå sammenhenger og konsekvenser av opplysninger må antas å være større hos dem enn hos andre.</w:t>
            </w:r>
          </w:p>
        </w:tc>
      </w:tr>
    </w:tbl>
    <w:p w14:paraId="2991EBF5" w14:textId="77777777" w:rsidR="0028101B" w:rsidRDefault="0028101B">
      <w:pPr>
        <w:rPr>
          <w:sz w:val="22"/>
        </w:rPr>
      </w:pPr>
      <w:bookmarkStart w:id="9" w:name="KAPITTEL_4-1-3"/>
      <w:bookmarkEnd w:id="8"/>
    </w:p>
    <w:p w14:paraId="5E15DFA8" w14:textId="77777777" w:rsidR="0028101B" w:rsidRDefault="00D446B3">
      <w:pPr>
        <w:rPr>
          <w:sz w:val="22"/>
        </w:rPr>
      </w:pPr>
      <w:r>
        <w:rPr>
          <w:sz w:val="22"/>
        </w:rPr>
        <w:br/>
      </w:r>
    </w:p>
    <w:p w14:paraId="08321F14" w14:textId="77777777" w:rsidR="0028101B" w:rsidRDefault="00D446B3">
      <w:pPr>
        <w:pStyle w:val="Overskrift4"/>
        <w:spacing w:before="0" w:after="0"/>
      </w:pPr>
      <w:r>
        <w:t>Oppsummering</w:t>
      </w:r>
    </w:p>
    <w:p w14:paraId="05DEFD17"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A552C2E" w14:textId="77777777">
        <w:tc>
          <w:tcPr>
            <w:tcW w:w="720" w:type="dxa"/>
            <w:noWrap/>
            <w:tcMar>
              <w:right w:w="80" w:type="dxa"/>
            </w:tcMar>
          </w:tcPr>
          <w:p w14:paraId="569FFF05" w14:textId="77777777" w:rsidR="0028101B" w:rsidRDefault="00D446B3">
            <w:pPr>
              <w:rPr>
                <w:sz w:val="22"/>
              </w:rPr>
            </w:pPr>
            <w:r>
              <w:rPr>
                <w:sz w:val="22"/>
              </w:rPr>
              <w:t>(58)</w:t>
            </w:r>
          </w:p>
        </w:tc>
        <w:tc>
          <w:tcPr>
            <w:tcW w:w="0" w:type="auto"/>
            <w:tcMar>
              <w:right w:w="80" w:type="dxa"/>
            </w:tcMar>
          </w:tcPr>
          <w:p w14:paraId="53074E56" w14:textId="77777777" w:rsidR="0028101B" w:rsidRDefault="00D446B3">
            <w:pPr>
              <w:rPr>
                <w:sz w:val="22"/>
              </w:rPr>
            </w:pPr>
            <w:r>
              <w:rPr>
                <w:sz w:val="22"/>
              </w:rPr>
              <w:t xml:space="preserve">For at styremedlemmer skal kunne holdes erstatningsansvarlige for uriktige eller utelatte opplysninger i informasjonsgrunnlaget for en emisjon, er det en forutsetning at det dreier seg om forhold – som sett i lys av de øvrige opplysningene som er gitt – etter </w:t>
            </w:r>
            <w:r>
              <w:rPr>
                <w:i/>
                <w:sz w:val="22"/>
              </w:rPr>
              <w:t>en samlet vurdering</w:t>
            </w:r>
            <w:r>
              <w:rPr>
                <w:sz w:val="22"/>
              </w:rPr>
              <w:t xml:space="preserve"> er av </w:t>
            </w:r>
            <w:r>
              <w:rPr>
                <w:i/>
                <w:sz w:val="22"/>
              </w:rPr>
              <w:t>vesentlig betydning</w:t>
            </w:r>
            <w:r>
              <w:rPr>
                <w:sz w:val="22"/>
              </w:rPr>
              <w:t xml:space="preserve"> for bedømmelsen av selskapet. For å kunne foreta en samlet vurdering, må den enkelte angivelige uriktige eller utelatte opplysningen som regel først bedømmes særskilt.</w:t>
            </w:r>
          </w:p>
        </w:tc>
      </w:tr>
    </w:tbl>
    <w:p w14:paraId="108CD2FB" w14:textId="77777777" w:rsidR="0028101B" w:rsidRDefault="0028101B">
      <w:pPr>
        <w:rPr>
          <w:sz w:val="6"/>
        </w:rPr>
      </w:pPr>
    </w:p>
    <w:p w14:paraId="05869ABD"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0339991C" w14:textId="77777777">
        <w:tc>
          <w:tcPr>
            <w:tcW w:w="720" w:type="dxa"/>
            <w:noWrap/>
            <w:tcMar>
              <w:right w:w="80" w:type="dxa"/>
            </w:tcMar>
          </w:tcPr>
          <w:p w14:paraId="17EAF6F1" w14:textId="77777777" w:rsidR="0028101B" w:rsidRDefault="00D446B3">
            <w:pPr>
              <w:rPr>
                <w:sz w:val="22"/>
              </w:rPr>
            </w:pPr>
            <w:r>
              <w:rPr>
                <w:sz w:val="22"/>
              </w:rPr>
              <w:t>(59)</w:t>
            </w:r>
          </w:p>
        </w:tc>
        <w:tc>
          <w:tcPr>
            <w:tcW w:w="0" w:type="auto"/>
            <w:tcMar>
              <w:right w:w="80" w:type="dxa"/>
            </w:tcMar>
          </w:tcPr>
          <w:p w14:paraId="2C102A75" w14:textId="77777777" w:rsidR="0028101B" w:rsidRDefault="00D446B3">
            <w:pPr>
              <w:rPr>
                <w:sz w:val="22"/>
              </w:rPr>
            </w:pPr>
            <w:r>
              <w:rPr>
                <w:sz w:val="22"/>
              </w:rPr>
              <w:t>Dersom prognoser og uttalelser om fremtiden bygger på korrekt faktum, bærer investorene som hovedregel selv risikoen for at egne antakelser og forventninger om markedsutviklingen og fremtiden slår til. Det kan ikke utelukkes at styremedlemmene kan bli holdt ansvarlige for de prognoser som er gitt</w:t>
            </w:r>
            <w:r>
              <w:rPr>
                <w:i/>
                <w:sz w:val="22"/>
              </w:rPr>
              <w:t>,</w:t>
            </w:r>
            <w:r>
              <w:rPr>
                <w:sz w:val="22"/>
              </w:rPr>
              <w:t xml:space="preserve"> men terskelen for å ilegge erstatningsansvar for antakelser om fremtiden er høy, jf. </w:t>
            </w:r>
            <w:hyperlink r:id="rId44" w:anchor="reference/avgjorelse/rt-1991-119-26b" w:history="1">
              <w:r>
                <w:rPr>
                  <w:sz w:val="22"/>
                </w:rPr>
                <w:t>Rt-1991-119</w:t>
              </w:r>
            </w:hyperlink>
            <w:r>
              <w:rPr>
                <w:sz w:val="22"/>
              </w:rPr>
              <w:t xml:space="preserve"> </w:t>
            </w:r>
            <w:proofErr w:type="spellStart"/>
            <w:r>
              <w:rPr>
                <w:i/>
                <w:sz w:val="22"/>
              </w:rPr>
              <w:t>Normount</w:t>
            </w:r>
            <w:proofErr w:type="spellEnd"/>
            <w:r>
              <w:rPr>
                <w:i/>
                <w:sz w:val="22"/>
              </w:rPr>
              <w:t>.</w:t>
            </w:r>
          </w:p>
        </w:tc>
      </w:tr>
    </w:tbl>
    <w:p w14:paraId="53B3690A" w14:textId="77777777" w:rsidR="0028101B" w:rsidRDefault="0028101B">
      <w:pPr>
        <w:rPr>
          <w:sz w:val="6"/>
        </w:rPr>
      </w:pPr>
    </w:p>
    <w:p w14:paraId="24D1825F"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0CBF82F2" w14:textId="77777777">
        <w:tc>
          <w:tcPr>
            <w:tcW w:w="720" w:type="dxa"/>
            <w:noWrap/>
            <w:tcMar>
              <w:right w:w="80" w:type="dxa"/>
            </w:tcMar>
          </w:tcPr>
          <w:p w14:paraId="148349E9" w14:textId="77777777" w:rsidR="0028101B" w:rsidRDefault="00D446B3">
            <w:pPr>
              <w:rPr>
                <w:sz w:val="22"/>
              </w:rPr>
            </w:pPr>
            <w:r>
              <w:rPr>
                <w:sz w:val="22"/>
              </w:rPr>
              <w:t>(60)</w:t>
            </w:r>
          </w:p>
        </w:tc>
        <w:tc>
          <w:tcPr>
            <w:tcW w:w="0" w:type="auto"/>
            <w:tcMar>
              <w:right w:w="80" w:type="dxa"/>
            </w:tcMar>
          </w:tcPr>
          <w:p w14:paraId="0BB7297E" w14:textId="77777777" w:rsidR="0028101B" w:rsidRDefault="00D446B3">
            <w:pPr>
              <w:rPr>
                <w:sz w:val="22"/>
              </w:rPr>
            </w:pPr>
            <w:r>
              <w:rPr>
                <w:sz w:val="22"/>
              </w:rPr>
              <w:t xml:space="preserve">Det må forventes at investorene gjennomgår mottatt informasjon, jf. </w:t>
            </w:r>
            <w:hyperlink r:id="rId45" w:anchor="reference/avgjorelse/hr-2012-2382-a" w:history="1">
              <w:r>
                <w:rPr>
                  <w:sz w:val="22"/>
                </w:rPr>
                <w:t>Rt-2012-1926</w:t>
              </w:r>
            </w:hyperlink>
            <w:r>
              <w:rPr>
                <w:sz w:val="22"/>
              </w:rPr>
              <w:t xml:space="preserve"> </w:t>
            </w:r>
            <w:r>
              <w:rPr>
                <w:i/>
                <w:sz w:val="22"/>
              </w:rPr>
              <w:t>Fokus Bank</w:t>
            </w:r>
            <w:r>
              <w:rPr>
                <w:sz w:val="22"/>
              </w:rPr>
              <w:t xml:space="preserve"> </w:t>
            </w:r>
            <w:hyperlink r:id="rId46" w:anchor="reference/avgjorelse/hr-2012-2382-a/a59" w:history="1">
              <w:r>
                <w:rPr>
                  <w:sz w:val="22"/>
                </w:rPr>
                <w:t>avsnitt 59</w:t>
              </w:r>
            </w:hyperlink>
            <w:r>
              <w:rPr>
                <w:sz w:val="22"/>
              </w:rPr>
              <w:t>. Profesjonelle investorer forventes i større grad å selv kunne vurdere mottatt informasjon, og terskelen for å ilegge ansvar ligger her høyere enn når investor ikke er profesjonell.</w:t>
            </w:r>
          </w:p>
        </w:tc>
      </w:tr>
    </w:tbl>
    <w:p w14:paraId="2A0F2BEC" w14:textId="77777777" w:rsidR="0028101B" w:rsidRDefault="0028101B">
      <w:pPr>
        <w:rPr>
          <w:sz w:val="22"/>
        </w:rPr>
      </w:pPr>
      <w:bookmarkStart w:id="10" w:name="KAPITTEL_4-2"/>
      <w:bookmarkEnd w:id="9"/>
      <w:bookmarkEnd w:id="6"/>
    </w:p>
    <w:p w14:paraId="2314C471" w14:textId="77777777" w:rsidR="0028101B" w:rsidRDefault="00D446B3">
      <w:pPr>
        <w:rPr>
          <w:sz w:val="22"/>
        </w:rPr>
      </w:pPr>
      <w:r>
        <w:rPr>
          <w:sz w:val="22"/>
        </w:rPr>
        <w:br/>
      </w:r>
    </w:p>
    <w:p w14:paraId="6EC0F65E" w14:textId="77777777" w:rsidR="0028101B" w:rsidRDefault="00D446B3">
      <w:pPr>
        <w:pStyle w:val="Overskrift3"/>
        <w:spacing w:before="0" w:after="0"/>
      </w:pPr>
      <w:r>
        <w:t xml:space="preserve">Den </w:t>
      </w:r>
      <w:r>
        <w:t>konkrete rettsanvendelsen</w:t>
      </w:r>
      <w:bookmarkStart w:id="11" w:name="KAPITTEL_4-2-1"/>
    </w:p>
    <w:p w14:paraId="7BB873BF" w14:textId="77777777" w:rsidR="0028101B" w:rsidRDefault="00D446B3">
      <w:pPr>
        <w:rPr>
          <w:sz w:val="22"/>
        </w:rPr>
      </w:pPr>
      <w:r>
        <w:rPr>
          <w:sz w:val="22"/>
        </w:rPr>
        <w:br/>
      </w:r>
    </w:p>
    <w:p w14:paraId="6E3D7379" w14:textId="77777777" w:rsidR="0028101B" w:rsidRDefault="00D446B3">
      <w:pPr>
        <w:pStyle w:val="Overskrift4"/>
        <w:spacing w:before="0" w:after="0"/>
      </w:pPr>
      <w:r>
        <w:t>Informasjonen som ble gitt investorene</w:t>
      </w:r>
    </w:p>
    <w:p w14:paraId="4683EA5C"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00BF3E8A" w14:textId="77777777">
        <w:tc>
          <w:tcPr>
            <w:tcW w:w="720" w:type="dxa"/>
            <w:noWrap/>
            <w:tcMar>
              <w:right w:w="80" w:type="dxa"/>
            </w:tcMar>
          </w:tcPr>
          <w:p w14:paraId="4DC29992" w14:textId="77777777" w:rsidR="0028101B" w:rsidRDefault="00D446B3">
            <w:pPr>
              <w:rPr>
                <w:sz w:val="22"/>
              </w:rPr>
            </w:pPr>
            <w:r>
              <w:rPr>
                <w:sz w:val="22"/>
              </w:rPr>
              <w:t>(61)</w:t>
            </w:r>
          </w:p>
        </w:tc>
        <w:tc>
          <w:tcPr>
            <w:tcW w:w="0" w:type="auto"/>
            <w:tcMar>
              <w:right w:w="80" w:type="dxa"/>
            </w:tcMar>
          </w:tcPr>
          <w:p w14:paraId="3D8A6130" w14:textId="77777777" w:rsidR="0028101B" w:rsidRDefault="00D446B3">
            <w:pPr>
              <w:rPr>
                <w:sz w:val="22"/>
              </w:rPr>
            </w:pPr>
            <w:r>
              <w:rPr>
                <w:sz w:val="22"/>
              </w:rPr>
              <w:t xml:space="preserve">Det første spørsmålet er om det før kapitalutvidelsen som ble vedtatt på generalforsamling 22. august 2014, ble gitt uriktig eller villedende informasjon. </w:t>
            </w:r>
            <w:r>
              <w:rPr>
                <w:sz w:val="22"/>
              </w:rPr>
              <w:t>Prosessfullmektigene har i sine prosedyrer for Høyesterett gitt en omfattende redegjørelse for informasjonsutvekslingen forut for dette tidspunktet. Jeg nøyer meg i det følgende med å trekke frem de mest sentrale punktene.</w:t>
            </w:r>
          </w:p>
        </w:tc>
      </w:tr>
    </w:tbl>
    <w:p w14:paraId="43CEEE47" w14:textId="77777777" w:rsidR="0028101B" w:rsidRDefault="0028101B">
      <w:pPr>
        <w:rPr>
          <w:sz w:val="6"/>
        </w:rPr>
      </w:pPr>
    </w:p>
    <w:p w14:paraId="7497F1D5"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2F2320A" w14:textId="77777777">
        <w:tc>
          <w:tcPr>
            <w:tcW w:w="720" w:type="dxa"/>
            <w:noWrap/>
            <w:tcMar>
              <w:right w:w="80" w:type="dxa"/>
            </w:tcMar>
          </w:tcPr>
          <w:p w14:paraId="04256E18" w14:textId="77777777" w:rsidR="0028101B" w:rsidRDefault="00D446B3">
            <w:pPr>
              <w:rPr>
                <w:sz w:val="22"/>
              </w:rPr>
            </w:pPr>
            <w:r>
              <w:rPr>
                <w:sz w:val="22"/>
              </w:rPr>
              <w:t>(62)</w:t>
            </w:r>
          </w:p>
        </w:tc>
        <w:tc>
          <w:tcPr>
            <w:tcW w:w="0" w:type="auto"/>
            <w:tcMar>
              <w:right w:w="80" w:type="dxa"/>
            </w:tcMar>
          </w:tcPr>
          <w:p w14:paraId="2AFD4FFC" w14:textId="77777777" w:rsidR="0028101B" w:rsidRDefault="00D446B3">
            <w:pPr>
              <w:rPr>
                <w:sz w:val="22"/>
              </w:rPr>
            </w:pPr>
            <w:r>
              <w:rPr>
                <w:sz w:val="22"/>
              </w:rPr>
              <w:t xml:space="preserve">Driften av </w:t>
            </w:r>
            <w:proofErr w:type="spellStart"/>
            <w:r>
              <w:rPr>
                <w:sz w:val="22"/>
              </w:rPr>
              <w:t>Spiro</w:t>
            </w:r>
            <w:proofErr w:type="spellEnd"/>
            <w:r>
              <w:rPr>
                <w:sz w:val="22"/>
              </w:rPr>
              <w:t xml:space="preserve"> var, som jeg har nevnt innledningsvis, hovedsakelig finansiert ved lån fra hovedaksjonærene </w:t>
            </w:r>
            <w:proofErr w:type="spellStart"/>
            <w:r>
              <w:rPr>
                <w:sz w:val="22"/>
              </w:rPr>
              <w:t>Eurosleep</w:t>
            </w:r>
            <w:proofErr w:type="spellEnd"/>
            <w:r>
              <w:rPr>
                <w:sz w:val="22"/>
              </w:rPr>
              <w:t xml:space="preserve"> </w:t>
            </w:r>
            <w:proofErr w:type="spellStart"/>
            <w:r>
              <w:rPr>
                <w:sz w:val="22"/>
              </w:rPr>
              <w:t>Holding</w:t>
            </w:r>
            <w:proofErr w:type="spellEnd"/>
            <w:r>
              <w:rPr>
                <w:sz w:val="22"/>
              </w:rPr>
              <w:t xml:space="preserve"> og [virksomhet] AS. Sommeren 2014 hadde selskapet behov for ny egenkapital, og i mai ble det etablert kontakt med den finansielle rådgiveren Norne som skulle bidra i prosessen med innhentning av kapital.</w:t>
            </w:r>
          </w:p>
        </w:tc>
      </w:tr>
    </w:tbl>
    <w:p w14:paraId="30768C04" w14:textId="77777777" w:rsidR="0028101B" w:rsidRDefault="0028101B">
      <w:pPr>
        <w:rPr>
          <w:sz w:val="6"/>
        </w:rPr>
      </w:pPr>
    </w:p>
    <w:p w14:paraId="4EE63BE3"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73B3BB2" w14:textId="77777777">
        <w:tc>
          <w:tcPr>
            <w:tcW w:w="720" w:type="dxa"/>
            <w:noWrap/>
            <w:tcMar>
              <w:right w:w="80" w:type="dxa"/>
            </w:tcMar>
          </w:tcPr>
          <w:p w14:paraId="71944369" w14:textId="77777777" w:rsidR="0028101B" w:rsidRDefault="00D446B3">
            <w:pPr>
              <w:rPr>
                <w:sz w:val="22"/>
              </w:rPr>
            </w:pPr>
            <w:r>
              <w:rPr>
                <w:sz w:val="22"/>
              </w:rPr>
              <w:t>(63)</w:t>
            </w:r>
          </w:p>
        </w:tc>
        <w:tc>
          <w:tcPr>
            <w:tcW w:w="0" w:type="auto"/>
            <w:tcMar>
              <w:right w:w="80" w:type="dxa"/>
            </w:tcMar>
          </w:tcPr>
          <w:p w14:paraId="5FEB0C14" w14:textId="77777777" w:rsidR="0028101B" w:rsidRDefault="00D446B3">
            <w:pPr>
              <w:rPr>
                <w:sz w:val="22"/>
              </w:rPr>
            </w:pPr>
            <w:r>
              <w:rPr>
                <w:sz w:val="22"/>
              </w:rPr>
              <w:t xml:space="preserve">Norne fremla i juni 2014 en investorpresentasjon som ble oversendt investorene 4. juni 2014. Det ble opplyst at selskapets forretningsidé var å utvikle og selge en forbedret versjon av selskapets eksisterende produkt for diagnostisering og behandling av søvnapné, og at selskapet hadde mottatt ikke forpliktende «Letters </w:t>
            </w:r>
            <w:proofErr w:type="spellStart"/>
            <w:r>
              <w:rPr>
                <w:sz w:val="22"/>
              </w:rPr>
              <w:t>of</w:t>
            </w:r>
            <w:proofErr w:type="spellEnd"/>
            <w:r>
              <w:rPr>
                <w:sz w:val="22"/>
              </w:rPr>
              <w:t xml:space="preserve"> </w:t>
            </w:r>
            <w:proofErr w:type="spellStart"/>
            <w:r>
              <w:rPr>
                <w:sz w:val="22"/>
              </w:rPr>
              <w:t>Intent</w:t>
            </w:r>
            <w:proofErr w:type="spellEnd"/>
            <w:r>
              <w:rPr>
                <w:sz w:val="22"/>
              </w:rPr>
              <w:t>» fra «</w:t>
            </w:r>
            <w:proofErr w:type="spellStart"/>
            <w:r>
              <w:rPr>
                <w:sz w:val="22"/>
              </w:rPr>
              <w:t>distributors</w:t>
            </w:r>
            <w:proofErr w:type="spellEnd"/>
            <w:r>
              <w:rPr>
                <w:sz w:val="22"/>
              </w:rPr>
              <w:t xml:space="preserve"> </w:t>
            </w:r>
            <w:proofErr w:type="spellStart"/>
            <w:r>
              <w:rPr>
                <w:sz w:val="22"/>
              </w:rPr>
              <w:t>across</w:t>
            </w:r>
            <w:proofErr w:type="spellEnd"/>
            <w:r>
              <w:rPr>
                <w:sz w:val="22"/>
              </w:rPr>
              <w:t xml:space="preserve"> </w:t>
            </w:r>
            <w:proofErr w:type="spellStart"/>
            <w:r>
              <w:rPr>
                <w:sz w:val="22"/>
              </w:rPr>
              <w:t>key</w:t>
            </w:r>
            <w:proofErr w:type="spellEnd"/>
            <w:r>
              <w:rPr>
                <w:sz w:val="22"/>
              </w:rPr>
              <w:t xml:space="preserve"> </w:t>
            </w:r>
            <w:proofErr w:type="spellStart"/>
            <w:r>
              <w:rPr>
                <w:sz w:val="22"/>
              </w:rPr>
              <w:t>markets</w:t>
            </w:r>
            <w:proofErr w:type="spellEnd"/>
            <w:r>
              <w:rPr>
                <w:sz w:val="22"/>
              </w:rPr>
              <w:t xml:space="preserve"> </w:t>
            </w:r>
            <w:proofErr w:type="spellStart"/>
            <w:r>
              <w:rPr>
                <w:sz w:val="22"/>
              </w:rPr>
              <w:t>world</w:t>
            </w:r>
            <w:proofErr w:type="spellEnd"/>
            <w:r>
              <w:rPr>
                <w:sz w:val="22"/>
              </w:rPr>
              <w:t xml:space="preserve"> </w:t>
            </w:r>
            <w:proofErr w:type="spellStart"/>
            <w:r>
              <w:rPr>
                <w:sz w:val="22"/>
              </w:rPr>
              <w:t>wide</w:t>
            </w:r>
            <w:proofErr w:type="spellEnd"/>
            <w:r>
              <w:rPr>
                <w:sz w:val="22"/>
              </w:rPr>
              <w:t>» for salg av den nye versjonen med oppstart i september samme år. Det fremgikk at det var utviklet en prototype av produktet, og at den første dokumentasjonen var sendt til Intertek i Tyskland som ledd i prosessen for å få CE-godkjenning, som er nødvendig for å kunne selge produktet.</w:t>
            </w:r>
          </w:p>
        </w:tc>
      </w:tr>
    </w:tbl>
    <w:p w14:paraId="166E131A" w14:textId="77777777" w:rsidR="0028101B" w:rsidRDefault="0028101B">
      <w:pPr>
        <w:rPr>
          <w:sz w:val="6"/>
        </w:rPr>
      </w:pPr>
    </w:p>
    <w:p w14:paraId="17DF9474"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0ACF2D7" w14:textId="77777777">
        <w:tc>
          <w:tcPr>
            <w:tcW w:w="720" w:type="dxa"/>
            <w:noWrap/>
            <w:tcMar>
              <w:right w:w="80" w:type="dxa"/>
            </w:tcMar>
          </w:tcPr>
          <w:p w14:paraId="774EEEF8" w14:textId="77777777" w:rsidR="0028101B" w:rsidRDefault="00D446B3">
            <w:pPr>
              <w:rPr>
                <w:sz w:val="22"/>
              </w:rPr>
            </w:pPr>
            <w:r>
              <w:rPr>
                <w:sz w:val="22"/>
              </w:rPr>
              <w:t>(64)</w:t>
            </w:r>
          </w:p>
        </w:tc>
        <w:tc>
          <w:tcPr>
            <w:tcW w:w="0" w:type="auto"/>
            <w:tcMar>
              <w:right w:w="80" w:type="dxa"/>
            </w:tcMar>
          </w:tcPr>
          <w:p w14:paraId="2A328F37" w14:textId="77777777" w:rsidR="0028101B" w:rsidRDefault="00D446B3">
            <w:pPr>
              <w:rPr>
                <w:sz w:val="22"/>
              </w:rPr>
            </w:pPr>
            <w:r>
              <w:rPr>
                <w:sz w:val="22"/>
              </w:rPr>
              <w:t>I perioden mellom 30. mai og 2. august 2014 var det en omfattende utveksling av e-poster mellom partene. Investorene opptrådte som gruppe, og e-postutvekslingen skjedde primært mellom J, som representant for investorene, og F. J stilte i e-post 5. juni 2014 en rekke spørsmål som han ønsket svar på. Disse ble besvart av F 8. juni 2014. Det fremkom der at det var søkt om CE-godkjenning av produktet. Investorene fikk videre opplyst at programvareoppgraderingen ikke var ferdig, men at dette skulle gjøres parall</w:t>
            </w:r>
            <w:r>
              <w:rPr>
                <w:sz w:val="22"/>
              </w:rPr>
              <w:t>elt med produksjonen etter CE-godkjenning. Den 24. juni 2014 sendte F en ny e-post som svar på ytterligere spørsmål J hadde stilt.</w:t>
            </w:r>
          </w:p>
        </w:tc>
      </w:tr>
    </w:tbl>
    <w:p w14:paraId="35ED1559" w14:textId="77777777" w:rsidR="0028101B" w:rsidRDefault="0028101B">
      <w:pPr>
        <w:rPr>
          <w:sz w:val="6"/>
        </w:rPr>
      </w:pPr>
    </w:p>
    <w:p w14:paraId="6358B8E4"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5022FC3" w14:textId="77777777">
        <w:tc>
          <w:tcPr>
            <w:tcW w:w="720" w:type="dxa"/>
            <w:noWrap/>
            <w:tcMar>
              <w:right w:w="80" w:type="dxa"/>
            </w:tcMar>
          </w:tcPr>
          <w:p w14:paraId="5DBA008E" w14:textId="77777777" w:rsidR="0028101B" w:rsidRDefault="00D446B3">
            <w:pPr>
              <w:rPr>
                <w:sz w:val="22"/>
              </w:rPr>
            </w:pPr>
            <w:r>
              <w:rPr>
                <w:sz w:val="22"/>
              </w:rPr>
              <w:t>(65)</w:t>
            </w:r>
          </w:p>
        </w:tc>
        <w:tc>
          <w:tcPr>
            <w:tcW w:w="0" w:type="auto"/>
            <w:tcMar>
              <w:right w:w="80" w:type="dxa"/>
            </w:tcMar>
          </w:tcPr>
          <w:p w14:paraId="43B43FD9" w14:textId="77777777" w:rsidR="0028101B" w:rsidRDefault="00D446B3">
            <w:pPr>
              <w:rPr>
                <w:sz w:val="22"/>
              </w:rPr>
            </w:pPr>
            <w:r>
              <w:rPr>
                <w:sz w:val="22"/>
              </w:rPr>
              <w:t>På bakgrunn av e-postutvekslingen utarbeidet J</w:t>
            </w:r>
            <w:r>
              <w:rPr>
                <w:sz w:val="22"/>
              </w:rPr>
              <w:t xml:space="preserve"> en egen evaluering av selskapet til bruk for investorene datert 30. juni 2014. Det fremgikk der at investorene i 2012 hadde valgt ikke å kjøpe seg inn i selskapet fordi de anså at den tekniske risikoen var for stor, men at J mente at det nå var gjort betydelige fremskritt.</w:t>
            </w:r>
          </w:p>
        </w:tc>
      </w:tr>
    </w:tbl>
    <w:p w14:paraId="6FEF3410" w14:textId="77777777" w:rsidR="0028101B" w:rsidRDefault="0028101B">
      <w:pPr>
        <w:rPr>
          <w:sz w:val="6"/>
        </w:rPr>
      </w:pPr>
    </w:p>
    <w:p w14:paraId="46AD3D21"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E56B484" w14:textId="77777777">
        <w:tc>
          <w:tcPr>
            <w:tcW w:w="720" w:type="dxa"/>
            <w:noWrap/>
            <w:tcMar>
              <w:right w:w="80" w:type="dxa"/>
            </w:tcMar>
          </w:tcPr>
          <w:p w14:paraId="7F0EE371" w14:textId="77777777" w:rsidR="0028101B" w:rsidRDefault="00D446B3">
            <w:pPr>
              <w:rPr>
                <w:sz w:val="22"/>
              </w:rPr>
            </w:pPr>
            <w:r>
              <w:rPr>
                <w:sz w:val="22"/>
              </w:rPr>
              <w:t>(66)</w:t>
            </w:r>
          </w:p>
        </w:tc>
        <w:tc>
          <w:tcPr>
            <w:tcW w:w="0" w:type="auto"/>
            <w:tcMar>
              <w:right w:w="80" w:type="dxa"/>
            </w:tcMar>
          </w:tcPr>
          <w:p w14:paraId="793858B0" w14:textId="77777777" w:rsidR="0028101B" w:rsidRDefault="00D446B3">
            <w:pPr>
              <w:rPr>
                <w:sz w:val="6"/>
              </w:rPr>
            </w:pPr>
            <w:r>
              <w:rPr>
                <w:sz w:val="22"/>
              </w:rPr>
              <w:t xml:space="preserve">Evalueringen ble oppsummert med en anbefaling om å investere i </w:t>
            </w:r>
            <w:proofErr w:type="spellStart"/>
            <w:r>
              <w:rPr>
                <w:sz w:val="22"/>
              </w:rPr>
              <w:t>Spiro</w:t>
            </w:r>
            <w:proofErr w:type="spellEnd"/>
            <w:r>
              <w:rPr>
                <w:sz w:val="22"/>
              </w:rPr>
              <w:t xml:space="preserve">, der det blant annet het at «[t]his </w:t>
            </w:r>
            <w:proofErr w:type="spellStart"/>
            <w:r>
              <w:rPr>
                <w:sz w:val="22"/>
              </w:rPr>
              <w:t>potential</w:t>
            </w:r>
            <w:proofErr w:type="spellEnd"/>
            <w:r>
              <w:rPr>
                <w:sz w:val="22"/>
              </w:rPr>
              <w:t xml:space="preserve"> </w:t>
            </w:r>
            <w:proofErr w:type="spellStart"/>
            <w:r>
              <w:rPr>
                <w:sz w:val="22"/>
              </w:rPr>
              <w:t>investment</w:t>
            </w:r>
            <w:proofErr w:type="spellEnd"/>
            <w:r>
              <w:rPr>
                <w:sz w:val="22"/>
              </w:rPr>
              <w:t xml:space="preserve"> </w:t>
            </w:r>
            <w:proofErr w:type="spellStart"/>
            <w:r>
              <w:rPr>
                <w:sz w:val="22"/>
              </w:rPr>
              <w:t>looks</w:t>
            </w:r>
            <w:proofErr w:type="spellEnd"/>
            <w:r>
              <w:rPr>
                <w:sz w:val="22"/>
              </w:rPr>
              <w:t xml:space="preserve"> </w:t>
            </w:r>
            <w:proofErr w:type="spellStart"/>
            <w:r>
              <w:rPr>
                <w:sz w:val="22"/>
              </w:rPr>
              <w:t>very</w:t>
            </w:r>
            <w:proofErr w:type="spellEnd"/>
            <w:r>
              <w:rPr>
                <w:sz w:val="22"/>
              </w:rPr>
              <w:t xml:space="preserve"> </w:t>
            </w:r>
            <w:proofErr w:type="spellStart"/>
            <w:r>
              <w:rPr>
                <w:sz w:val="22"/>
              </w:rPr>
              <w:t>attractive</w:t>
            </w:r>
            <w:proofErr w:type="spellEnd"/>
            <w:r>
              <w:rPr>
                <w:sz w:val="22"/>
              </w:rPr>
              <w:t xml:space="preserve"> to </w:t>
            </w:r>
            <w:proofErr w:type="spellStart"/>
            <w:r>
              <w:rPr>
                <w:sz w:val="22"/>
              </w:rPr>
              <w:t>me</w:t>
            </w:r>
            <w:proofErr w:type="spellEnd"/>
            <w:r>
              <w:rPr>
                <w:sz w:val="22"/>
              </w:rPr>
              <w:t>», men at «[t]</w:t>
            </w:r>
            <w:proofErr w:type="spellStart"/>
            <w:r>
              <w:rPr>
                <w:sz w:val="22"/>
              </w:rPr>
              <w:t>here</w:t>
            </w:r>
            <w:proofErr w:type="spellEnd"/>
            <w:r>
              <w:rPr>
                <w:sz w:val="22"/>
              </w:rPr>
              <w:t xml:space="preserve"> is still </w:t>
            </w:r>
            <w:proofErr w:type="spellStart"/>
            <w:r>
              <w:rPr>
                <w:sz w:val="22"/>
              </w:rPr>
              <w:t>some</w:t>
            </w:r>
            <w:proofErr w:type="spellEnd"/>
            <w:r>
              <w:rPr>
                <w:sz w:val="22"/>
              </w:rPr>
              <w:t xml:space="preserve"> </w:t>
            </w:r>
            <w:proofErr w:type="spellStart"/>
            <w:r>
              <w:rPr>
                <w:sz w:val="22"/>
              </w:rPr>
              <w:t>technical</w:t>
            </w:r>
            <w:proofErr w:type="spellEnd"/>
            <w:r>
              <w:rPr>
                <w:sz w:val="22"/>
              </w:rPr>
              <w:t xml:space="preserve"> risk and a </w:t>
            </w:r>
            <w:proofErr w:type="spellStart"/>
            <w:r>
              <w:rPr>
                <w:sz w:val="22"/>
              </w:rPr>
              <w:t>significant</w:t>
            </w:r>
            <w:proofErr w:type="spellEnd"/>
            <w:r>
              <w:rPr>
                <w:sz w:val="22"/>
              </w:rPr>
              <w:t xml:space="preserve"> risk </w:t>
            </w:r>
            <w:proofErr w:type="spellStart"/>
            <w:r>
              <w:rPr>
                <w:sz w:val="22"/>
              </w:rPr>
              <w:t>around</w:t>
            </w:r>
            <w:proofErr w:type="spellEnd"/>
            <w:r>
              <w:rPr>
                <w:sz w:val="22"/>
              </w:rPr>
              <w:t xml:space="preserve"> </w:t>
            </w:r>
            <w:proofErr w:type="spellStart"/>
            <w:r>
              <w:rPr>
                <w:sz w:val="22"/>
              </w:rPr>
              <w:t>ramping</w:t>
            </w:r>
            <w:proofErr w:type="spellEnd"/>
            <w:r>
              <w:rPr>
                <w:sz w:val="22"/>
              </w:rPr>
              <w:t xml:space="preserve"> up sales». Det fremgikk at J mente at selskapet på den ene side hadde vurdert forventede administrative kostnader for lavt, mens det på den annen side hadde underestimert sin verdi. Om dette het det:</w:t>
            </w:r>
          </w:p>
          <w:p w14:paraId="01AF54D9" w14:textId="77777777" w:rsidR="0028101B" w:rsidRDefault="00D446B3">
            <w:pPr>
              <w:spacing w:before="120"/>
              <w:ind w:left="1080"/>
              <w:rPr>
                <w:sz w:val="22"/>
              </w:rPr>
            </w:pPr>
            <w:r>
              <w:rPr>
                <w:sz w:val="22"/>
              </w:rPr>
              <w:lastRenderedPageBreak/>
              <w:t xml:space="preserve">«The </w:t>
            </w:r>
            <w:proofErr w:type="spellStart"/>
            <w:r>
              <w:rPr>
                <w:sz w:val="22"/>
              </w:rPr>
              <w:t>key</w:t>
            </w:r>
            <w:proofErr w:type="spellEnd"/>
            <w:r>
              <w:rPr>
                <w:sz w:val="22"/>
              </w:rPr>
              <w:t xml:space="preserve"> </w:t>
            </w:r>
            <w:proofErr w:type="spellStart"/>
            <w:r>
              <w:rPr>
                <w:sz w:val="22"/>
              </w:rPr>
              <w:t>conundrum</w:t>
            </w:r>
            <w:proofErr w:type="spellEnd"/>
            <w:r>
              <w:rPr>
                <w:sz w:val="22"/>
              </w:rPr>
              <w:t xml:space="preserve"> is </w:t>
            </w:r>
            <w:proofErr w:type="spellStart"/>
            <w:r>
              <w:rPr>
                <w:sz w:val="22"/>
              </w:rPr>
              <w:t>that</w:t>
            </w:r>
            <w:proofErr w:type="spellEnd"/>
            <w:r>
              <w:rPr>
                <w:sz w:val="22"/>
              </w:rPr>
              <w:t xml:space="preserve"> </w:t>
            </w:r>
            <w:proofErr w:type="spellStart"/>
            <w:r>
              <w:rPr>
                <w:sz w:val="22"/>
              </w:rPr>
              <w:t>Spiro</w:t>
            </w:r>
            <w:proofErr w:type="spellEnd"/>
            <w:r>
              <w:rPr>
                <w:sz w:val="22"/>
              </w:rPr>
              <w:t xml:space="preserve"> </w:t>
            </w:r>
            <w:proofErr w:type="spellStart"/>
            <w:r>
              <w:rPr>
                <w:sz w:val="22"/>
              </w:rPr>
              <w:t>seem</w:t>
            </w:r>
            <w:proofErr w:type="spellEnd"/>
            <w:r>
              <w:rPr>
                <w:sz w:val="22"/>
              </w:rPr>
              <w:t xml:space="preserve"> to be </w:t>
            </w:r>
            <w:proofErr w:type="spellStart"/>
            <w:r>
              <w:rPr>
                <w:sz w:val="22"/>
              </w:rPr>
              <w:t>significantly</w:t>
            </w:r>
            <w:proofErr w:type="spellEnd"/>
            <w:r>
              <w:rPr>
                <w:sz w:val="22"/>
              </w:rPr>
              <w:t xml:space="preserve"> </w:t>
            </w:r>
            <w:proofErr w:type="spellStart"/>
            <w:r>
              <w:rPr>
                <w:sz w:val="22"/>
              </w:rPr>
              <w:t>undervaluing</w:t>
            </w:r>
            <w:proofErr w:type="spellEnd"/>
            <w:r>
              <w:rPr>
                <w:sz w:val="22"/>
              </w:rPr>
              <w:t xml:space="preserve"> </w:t>
            </w:r>
            <w:proofErr w:type="spellStart"/>
            <w:r>
              <w:rPr>
                <w:sz w:val="22"/>
              </w:rPr>
              <w:t>their</w:t>
            </w:r>
            <w:proofErr w:type="spellEnd"/>
            <w:r>
              <w:rPr>
                <w:sz w:val="22"/>
              </w:rPr>
              <w:t xml:space="preserve"> business. </w:t>
            </w:r>
            <w:proofErr w:type="spellStart"/>
            <w:r>
              <w:rPr>
                <w:sz w:val="22"/>
              </w:rPr>
              <w:t>They</w:t>
            </w:r>
            <w:proofErr w:type="spellEnd"/>
            <w:r>
              <w:rPr>
                <w:sz w:val="22"/>
              </w:rPr>
              <w:t xml:space="preserve"> </w:t>
            </w:r>
            <w:proofErr w:type="spellStart"/>
            <w:r>
              <w:rPr>
                <w:sz w:val="22"/>
              </w:rPr>
              <w:t>claim</w:t>
            </w:r>
            <w:proofErr w:type="spellEnd"/>
            <w:r>
              <w:rPr>
                <w:sz w:val="22"/>
              </w:rPr>
              <w:t xml:space="preserve"> in </w:t>
            </w:r>
            <w:proofErr w:type="spellStart"/>
            <w:r>
              <w:rPr>
                <w:sz w:val="22"/>
              </w:rPr>
              <w:t>their</w:t>
            </w:r>
            <w:proofErr w:type="spellEnd"/>
            <w:r>
              <w:rPr>
                <w:sz w:val="22"/>
              </w:rPr>
              <w:t xml:space="preserve"> email </w:t>
            </w:r>
            <w:proofErr w:type="spellStart"/>
            <w:r>
              <w:rPr>
                <w:sz w:val="22"/>
              </w:rPr>
              <w:t>of</w:t>
            </w:r>
            <w:proofErr w:type="spellEnd"/>
            <w:r>
              <w:rPr>
                <w:sz w:val="22"/>
              </w:rPr>
              <w:t xml:space="preserve"> 30th May </w:t>
            </w:r>
            <w:proofErr w:type="spellStart"/>
            <w:r>
              <w:rPr>
                <w:sz w:val="22"/>
              </w:rPr>
              <w:t>that</w:t>
            </w:r>
            <w:proofErr w:type="spellEnd"/>
            <w:r>
              <w:rPr>
                <w:sz w:val="22"/>
              </w:rPr>
              <w:t xml:space="preserve"> </w:t>
            </w:r>
            <w:proofErr w:type="spellStart"/>
            <w:r>
              <w:rPr>
                <w:sz w:val="22"/>
              </w:rPr>
              <w:t>the</w:t>
            </w:r>
            <w:proofErr w:type="spellEnd"/>
            <w:r>
              <w:rPr>
                <w:sz w:val="22"/>
              </w:rPr>
              <w:t xml:space="preserve"> </w:t>
            </w:r>
            <w:proofErr w:type="spellStart"/>
            <w:r>
              <w:rPr>
                <w:sz w:val="22"/>
              </w:rPr>
              <w:t>company</w:t>
            </w:r>
            <w:proofErr w:type="spellEnd"/>
            <w:r>
              <w:rPr>
                <w:sz w:val="22"/>
              </w:rPr>
              <w:t xml:space="preserve"> is </w:t>
            </w:r>
            <w:proofErr w:type="spellStart"/>
            <w:r>
              <w:rPr>
                <w:sz w:val="22"/>
              </w:rPr>
              <w:t>worth</w:t>
            </w:r>
            <w:proofErr w:type="spellEnd"/>
            <w:r>
              <w:rPr>
                <w:sz w:val="22"/>
              </w:rPr>
              <w:t xml:space="preserve"> NOK 100 million and </w:t>
            </w:r>
            <w:proofErr w:type="spellStart"/>
            <w:r>
              <w:rPr>
                <w:sz w:val="22"/>
              </w:rPr>
              <w:t>are</w:t>
            </w:r>
            <w:proofErr w:type="spellEnd"/>
            <w:r>
              <w:rPr>
                <w:sz w:val="22"/>
              </w:rPr>
              <w:t xml:space="preserve"> </w:t>
            </w:r>
            <w:proofErr w:type="spellStart"/>
            <w:r>
              <w:rPr>
                <w:sz w:val="22"/>
              </w:rPr>
              <w:t>therefore</w:t>
            </w:r>
            <w:proofErr w:type="spellEnd"/>
            <w:r>
              <w:rPr>
                <w:sz w:val="22"/>
              </w:rPr>
              <w:t xml:space="preserve"> </w:t>
            </w:r>
            <w:proofErr w:type="spellStart"/>
            <w:r>
              <w:rPr>
                <w:sz w:val="22"/>
              </w:rPr>
              <w:t>offering</w:t>
            </w:r>
            <w:proofErr w:type="spellEnd"/>
            <w:r>
              <w:rPr>
                <w:sz w:val="22"/>
              </w:rPr>
              <w:t xml:space="preserve"> 20% for </w:t>
            </w:r>
            <w:proofErr w:type="spellStart"/>
            <w:r>
              <w:rPr>
                <w:sz w:val="22"/>
              </w:rPr>
              <w:t>the</w:t>
            </w:r>
            <w:proofErr w:type="spellEnd"/>
            <w:r>
              <w:rPr>
                <w:sz w:val="22"/>
              </w:rPr>
              <w:t xml:space="preserve"> NOK 20 million </w:t>
            </w:r>
            <w:proofErr w:type="spellStart"/>
            <w:r>
              <w:rPr>
                <w:sz w:val="22"/>
              </w:rPr>
              <w:t>they</w:t>
            </w:r>
            <w:proofErr w:type="spellEnd"/>
            <w:r>
              <w:rPr>
                <w:sz w:val="22"/>
              </w:rPr>
              <w:t xml:space="preserve"> hope to </w:t>
            </w:r>
            <w:proofErr w:type="spellStart"/>
            <w:r>
              <w:rPr>
                <w:sz w:val="22"/>
              </w:rPr>
              <w:t>raise</w:t>
            </w:r>
            <w:proofErr w:type="spellEnd"/>
            <w:r>
              <w:rPr>
                <w:sz w:val="22"/>
              </w:rPr>
              <w:t xml:space="preserve">. ... My </w:t>
            </w:r>
            <w:proofErr w:type="spellStart"/>
            <w:r>
              <w:rPr>
                <w:sz w:val="22"/>
              </w:rPr>
              <w:t>economic</w:t>
            </w:r>
            <w:proofErr w:type="spellEnd"/>
            <w:r>
              <w:rPr>
                <w:sz w:val="22"/>
              </w:rPr>
              <w:t xml:space="preserve"> </w:t>
            </w:r>
            <w:proofErr w:type="spellStart"/>
            <w:r>
              <w:rPr>
                <w:sz w:val="22"/>
              </w:rPr>
              <w:t>results</w:t>
            </w:r>
            <w:proofErr w:type="spellEnd"/>
            <w:r>
              <w:rPr>
                <w:sz w:val="22"/>
              </w:rPr>
              <w:t xml:space="preserve"> show </w:t>
            </w:r>
            <w:proofErr w:type="spellStart"/>
            <w:r>
              <w:rPr>
                <w:sz w:val="22"/>
              </w:rPr>
              <w:t>that</w:t>
            </w:r>
            <w:proofErr w:type="spellEnd"/>
            <w:r>
              <w:rPr>
                <w:sz w:val="22"/>
              </w:rPr>
              <w:t xml:space="preserve"> </w:t>
            </w:r>
            <w:proofErr w:type="spellStart"/>
            <w:r>
              <w:rPr>
                <w:sz w:val="22"/>
              </w:rPr>
              <w:t>the</w:t>
            </w:r>
            <w:proofErr w:type="spellEnd"/>
            <w:r>
              <w:rPr>
                <w:sz w:val="22"/>
              </w:rPr>
              <w:t xml:space="preserve"> </w:t>
            </w:r>
            <w:proofErr w:type="spellStart"/>
            <w:r>
              <w:rPr>
                <w:sz w:val="22"/>
              </w:rPr>
              <w:t>company</w:t>
            </w:r>
            <w:proofErr w:type="spellEnd"/>
            <w:r>
              <w:rPr>
                <w:sz w:val="22"/>
              </w:rPr>
              <w:t xml:space="preserve"> is </w:t>
            </w:r>
            <w:proofErr w:type="spellStart"/>
            <w:r>
              <w:rPr>
                <w:sz w:val="22"/>
              </w:rPr>
              <w:t>worth</w:t>
            </w:r>
            <w:proofErr w:type="spellEnd"/>
            <w:r>
              <w:rPr>
                <w:sz w:val="22"/>
              </w:rPr>
              <w:t xml:space="preserve"> </w:t>
            </w:r>
            <w:proofErr w:type="spellStart"/>
            <w:r>
              <w:rPr>
                <w:sz w:val="22"/>
              </w:rPr>
              <w:t>considerably</w:t>
            </w:r>
            <w:proofErr w:type="spellEnd"/>
            <w:r>
              <w:rPr>
                <w:sz w:val="22"/>
              </w:rPr>
              <w:t xml:space="preserve"> more </w:t>
            </w:r>
            <w:proofErr w:type="spellStart"/>
            <w:r>
              <w:rPr>
                <w:sz w:val="22"/>
              </w:rPr>
              <w:t>than</w:t>
            </w:r>
            <w:proofErr w:type="spellEnd"/>
            <w:r>
              <w:rPr>
                <w:sz w:val="22"/>
              </w:rPr>
              <w:t xml:space="preserve"> </w:t>
            </w:r>
            <w:proofErr w:type="spellStart"/>
            <w:r>
              <w:rPr>
                <w:sz w:val="22"/>
              </w:rPr>
              <w:t>that</w:t>
            </w:r>
            <w:proofErr w:type="spellEnd"/>
            <w:r>
              <w:rPr>
                <w:sz w:val="22"/>
              </w:rPr>
              <w:t xml:space="preserve"> under </w:t>
            </w:r>
            <w:proofErr w:type="spellStart"/>
            <w:r>
              <w:rPr>
                <w:sz w:val="22"/>
              </w:rPr>
              <w:t>almost</w:t>
            </w:r>
            <w:proofErr w:type="spellEnd"/>
            <w:r>
              <w:rPr>
                <w:sz w:val="22"/>
              </w:rPr>
              <w:t xml:space="preserve"> </w:t>
            </w:r>
            <w:proofErr w:type="spellStart"/>
            <w:r>
              <w:rPr>
                <w:sz w:val="22"/>
              </w:rPr>
              <w:t>any</w:t>
            </w:r>
            <w:proofErr w:type="spellEnd"/>
            <w:r>
              <w:rPr>
                <w:sz w:val="22"/>
              </w:rPr>
              <w:t xml:space="preserve"> scenario.»</w:t>
            </w:r>
          </w:p>
        </w:tc>
      </w:tr>
    </w:tbl>
    <w:p w14:paraId="1F5801D3" w14:textId="77777777" w:rsidR="0028101B" w:rsidRDefault="0028101B">
      <w:pPr>
        <w:rPr>
          <w:sz w:val="6"/>
        </w:rPr>
      </w:pPr>
    </w:p>
    <w:p w14:paraId="0E4ACC47"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D9D4E1F" w14:textId="77777777">
        <w:tc>
          <w:tcPr>
            <w:tcW w:w="720" w:type="dxa"/>
            <w:noWrap/>
            <w:tcMar>
              <w:right w:w="80" w:type="dxa"/>
            </w:tcMar>
          </w:tcPr>
          <w:p w14:paraId="668B845A" w14:textId="77777777" w:rsidR="0028101B" w:rsidRDefault="00D446B3">
            <w:pPr>
              <w:rPr>
                <w:sz w:val="22"/>
              </w:rPr>
            </w:pPr>
            <w:r>
              <w:rPr>
                <w:sz w:val="22"/>
              </w:rPr>
              <w:t>(67)</w:t>
            </w:r>
          </w:p>
        </w:tc>
        <w:tc>
          <w:tcPr>
            <w:tcW w:w="0" w:type="auto"/>
            <w:tcMar>
              <w:right w:w="80" w:type="dxa"/>
            </w:tcMar>
          </w:tcPr>
          <w:p w14:paraId="11615241" w14:textId="77777777" w:rsidR="0028101B" w:rsidRDefault="00D446B3">
            <w:pPr>
              <w:rPr>
                <w:sz w:val="22"/>
              </w:rPr>
            </w:pPr>
            <w:proofErr w:type="spellStart"/>
            <w:r>
              <w:rPr>
                <w:sz w:val="22"/>
              </w:rPr>
              <w:t>Spiros</w:t>
            </w:r>
            <w:proofErr w:type="spellEnd"/>
            <w:r>
              <w:rPr>
                <w:sz w:val="22"/>
              </w:rPr>
              <w:t xml:space="preserve"> årsregnskap for 2013 ble avlagt 30. juni 2014. Driftsresultatet var på i underkant av minus 4 millioner kroner og negativ egenkapital i underkant av 3,75 millioner kroner. Tallene indikerte at </w:t>
            </w:r>
            <w:proofErr w:type="spellStart"/>
            <w:r>
              <w:rPr>
                <w:sz w:val="22"/>
              </w:rPr>
              <w:t>Spiro</w:t>
            </w:r>
            <w:proofErr w:type="spellEnd"/>
            <w:r>
              <w:rPr>
                <w:sz w:val="22"/>
              </w:rPr>
              <w:t xml:space="preserve"> var et umodent selskap der ressursene ble benyttet til forskning og utvikling av et produkt som ennå ikke var klart for salg. Det fremgikk av styrets årsberetning at selskapet drev «utviklingsaktiviteter» og «venter å kommersialisere produktet </w:t>
            </w:r>
            <w:proofErr w:type="spellStart"/>
            <w:r>
              <w:rPr>
                <w:sz w:val="22"/>
              </w:rPr>
              <w:t>ApneaGraph</w:t>
            </w:r>
            <w:proofErr w:type="spellEnd"/>
            <w:r>
              <w:rPr>
                <w:sz w:val="22"/>
              </w:rPr>
              <w:t xml:space="preserve"> </w:t>
            </w:r>
            <w:proofErr w:type="spellStart"/>
            <w:r>
              <w:rPr>
                <w:sz w:val="22"/>
              </w:rPr>
              <w:t>Spiro</w:t>
            </w:r>
            <w:proofErr w:type="spellEnd"/>
            <w:r>
              <w:rPr>
                <w:sz w:val="22"/>
              </w:rPr>
              <w:t xml:space="preserve"> i løpet av 2014». I tillegg til det som fremkom her</w:t>
            </w:r>
            <w:r>
              <w:rPr>
                <w:sz w:val="22"/>
              </w:rPr>
              <w:t>, støttet evalueringen fra J inntrykket av at aksjetegnerne investerte i en fremtidig og forventet utvikling av selskapet. Dette understrekes blant annet ved at han som nevnt mente at styret hadde priset selskapet for lavt. Jeg er derfor uenig med investorene i at de ikke investerte i et oppstartsselskap.</w:t>
            </w:r>
          </w:p>
        </w:tc>
      </w:tr>
    </w:tbl>
    <w:p w14:paraId="76CAD22D" w14:textId="77777777" w:rsidR="0028101B" w:rsidRDefault="0028101B">
      <w:pPr>
        <w:rPr>
          <w:sz w:val="6"/>
        </w:rPr>
      </w:pPr>
    </w:p>
    <w:p w14:paraId="5DEDFD29"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43AF596D" w14:textId="77777777">
        <w:tc>
          <w:tcPr>
            <w:tcW w:w="720" w:type="dxa"/>
            <w:noWrap/>
            <w:tcMar>
              <w:right w:w="80" w:type="dxa"/>
            </w:tcMar>
          </w:tcPr>
          <w:p w14:paraId="0E15EEA1" w14:textId="77777777" w:rsidR="0028101B" w:rsidRDefault="00D446B3">
            <w:pPr>
              <w:rPr>
                <w:sz w:val="22"/>
              </w:rPr>
            </w:pPr>
            <w:r>
              <w:rPr>
                <w:sz w:val="22"/>
              </w:rPr>
              <w:t>(68)</w:t>
            </w:r>
          </w:p>
        </w:tc>
        <w:tc>
          <w:tcPr>
            <w:tcW w:w="0" w:type="auto"/>
            <w:tcMar>
              <w:right w:w="80" w:type="dxa"/>
            </w:tcMar>
          </w:tcPr>
          <w:p w14:paraId="7A705D11" w14:textId="77777777" w:rsidR="0028101B" w:rsidRDefault="00D446B3">
            <w:pPr>
              <w:rPr>
                <w:sz w:val="22"/>
              </w:rPr>
            </w:pPr>
            <w:r>
              <w:rPr>
                <w:sz w:val="22"/>
              </w:rPr>
              <w:t xml:space="preserve">Det ble avholdt et møte mellom investorene og </w:t>
            </w:r>
            <w:proofErr w:type="spellStart"/>
            <w:r>
              <w:rPr>
                <w:sz w:val="22"/>
              </w:rPr>
              <w:t>Spiro</w:t>
            </w:r>
            <w:proofErr w:type="spellEnd"/>
            <w:r>
              <w:rPr>
                <w:sz w:val="22"/>
              </w:rPr>
              <w:t xml:space="preserve"> i Bergen 1. august 2014 der det ble holdt en presentasjon som dagen etter ble sendt investorene. Presentasjonen gjaldt det som ble betegnet som et «Development </w:t>
            </w:r>
            <w:proofErr w:type="spellStart"/>
            <w:r>
              <w:rPr>
                <w:sz w:val="22"/>
              </w:rPr>
              <w:t>project</w:t>
            </w:r>
            <w:proofErr w:type="spellEnd"/>
            <w:r>
              <w:rPr>
                <w:sz w:val="22"/>
              </w:rPr>
              <w:t>». Den inneholdt en omfattende teknisk gjennomgang av produktet, og det fremgikk at målinger på kateteret var foretatt på en prototype. Kateteret, som var en viktig del av produktet, var – i motsetning til enkelte andre deler – ikke opplistet som ferdig. Om godkjenning for CE-merking ble det opplyst at denne var «in progress», og at test</w:t>
            </w:r>
            <w:r>
              <w:rPr>
                <w:sz w:val="22"/>
              </w:rPr>
              <w:t xml:space="preserve">ingen hos Intertek var berammet i september. Det fremgikk også at klinisk testing skulle foretas på Akershus universitetssykehus i 2014-2015, og at «Expert System and </w:t>
            </w:r>
            <w:proofErr w:type="spellStart"/>
            <w:r>
              <w:rPr>
                <w:sz w:val="22"/>
              </w:rPr>
              <w:t>Cloud</w:t>
            </w:r>
            <w:proofErr w:type="spellEnd"/>
            <w:r>
              <w:rPr>
                <w:sz w:val="22"/>
              </w:rPr>
              <w:t xml:space="preserve"> </w:t>
            </w:r>
            <w:proofErr w:type="spellStart"/>
            <w:r>
              <w:rPr>
                <w:sz w:val="22"/>
              </w:rPr>
              <w:t>Infrastructure</w:t>
            </w:r>
            <w:proofErr w:type="spellEnd"/>
            <w:r>
              <w:rPr>
                <w:sz w:val="22"/>
              </w:rPr>
              <w:t>» var under utvikling med antatt ferdigstillelse i slutten av 2014. Dessuten forelå en oppdatert versjon av Nornes investorpresentasjon hvor forventet salg var blitt forskjøvet med ett år.</w:t>
            </w:r>
          </w:p>
        </w:tc>
      </w:tr>
    </w:tbl>
    <w:p w14:paraId="39067501" w14:textId="77777777" w:rsidR="0028101B" w:rsidRDefault="0028101B">
      <w:pPr>
        <w:rPr>
          <w:sz w:val="6"/>
        </w:rPr>
      </w:pPr>
    </w:p>
    <w:p w14:paraId="47C36900"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E82301F" w14:textId="77777777">
        <w:tc>
          <w:tcPr>
            <w:tcW w:w="720" w:type="dxa"/>
            <w:noWrap/>
            <w:tcMar>
              <w:right w:w="80" w:type="dxa"/>
            </w:tcMar>
          </w:tcPr>
          <w:p w14:paraId="2EA00356" w14:textId="77777777" w:rsidR="0028101B" w:rsidRDefault="00D446B3">
            <w:pPr>
              <w:rPr>
                <w:sz w:val="22"/>
              </w:rPr>
            </w:pPr>
            <w:r>
              <w:rPr>
                <w:sz w:val="22"/>
              </w:rPr>
              <w:t>(69)</w:t>
            </w:r>
          </w:p>
        </w:tc>
        <w:tc>
          <w:tcPr>
            <w:tcW w:w="0" w:type="auto"/>
            <w:tcMar>
              <w:right w:w="80" w:type="dxa"/>
            </w:tcMar>
          </w:tcPr>
          <w:p w14:paraId="4BACC804" w14:textId="77777777" w:rsidR="0028101B" w:rsidRDefault="00D446B3">
            <w:pPr>
              <w:rPr>
                <w:sz w:val="22"/>
              </w:rPr>
            </w:pPr>
            <w:r>
              <w:rPr>
                <w:sz w:val="22"/>
              </w:rPr>
              <w:t xml:space="preserve">Den 22. august 2014 ble det inngått en investeringsavtale og en aksjonæravtale, og aksjekapitalforhøyelsen ble vedtatt på generalforsamling i </w:t>
            </w:r>
            <w:proofErr w:type="spellStart"/>
            <w:r>
              <w:rPr>
                <w:sz w:val="22"/>
              </w:rPr>
              <w:t>Spiro</w:t>
            </w:r>
            <w:proofErr w:type="spellEnd"/>
            <w:r>
              <w:rPr>
                <w:sz w:val="22"/>
              </w:rPr>
              <w:t xml:space="preserve"> samme dag.</w:t>
            </w:r>
          </w:p>
        </w:tc>
      </w:tr>
    </w:tbl>
    <w:p w14:paraId="237CF9F8" w14:textId="77777777" w:rsidR="0028101B" w:rsidRDefault="0028101B">
      <w:pPr>
        <w:rPr>
          <w:sz w:val="6"/>
        </w:rPr>
      </w:pPr>
    </w:p>
    <w:p w14:paraId="0C8E575E"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EE0F56D" w14:textId="77777777">
        <w:tc>
          <w:tcPr>
            <w:tcW w:w="720" w:type="dxa"/>
            <w:noWrap/>
            <w:tcMar>
              <w:right w:w="80" w:type="dxa"/>
            </w:tcMar>
          </w:tcPr>
          <w:p w14:paraId="4BBA746F" w14:textId="77777777" w:rsidR="0028101B" w:rsidRDefault="00D446B3">
            <w:pPr>
              <w:rPr>
                <w:sz w:val="22"/>
              </w:rPr>
            </w:pPr>
            <w:r>
              <w:rPr>
                <w:sz w:val="22"/>
              </w:rPr>
              <w:t>(70)</w:t>
            </w:r>
          </w:p>
        </w:tc>
        <w:tc>
          <w:tcPr>
            <w:tcW w:w="0" w:type="auto"/>
            <w:tcMar>
              <w:right w:w="80" w:type="dxa"/>
            </w:tcMar>
          </w:tcPr>
          <w:p w14:paraId="4B11A482" w14:textId="77777777" w:rsidR="0028101B" w:rsidRDefault="00D446B3">
            <w:pPr>
              <w:rPr>
                <w:sz w:val="22"/>
              </w:rPr>
            </w:pPr>
            <w:r>
              <w:rPr>
                <w:sz w:val="22"/>
              </w:rPr>
              <w:t xml:space="preserve">I ettertid har det vist seg at </w:t>
            </w:r>
            <w:r>
              <w:rPr>
                <w:sz w:val="22"/>
              </w:rPr>
              <w:t>prototypen ikke egnet seg for masseproduksjon med et kateter som kunne gjenbrukes 20 ganger, slik planen hadde vært.</w:t>
            </w:r>
          </w:p>
        </w:tc>
      </w:tr>
    </w:tbl>
    <w:p w14:paraId="17344D83" w14:textId="77777777" w:rsidR="0028101B" w:rsidRDefault="0028101B">
      <w:pPr>
        <w:rPr>
          <w:sz w:val="22"/>
        </w:rPr>
      </w:pPr>
      <w:bookmarkStart w:id="12" w:name="KAPITTEL_4-2-2"/>
      <w:bookmarkEnd w:id="11"/>
    </w:p>
    <w:p w14:paraId="4C8E5841" w14:textId="77777777" w:rsidR="0028101B" w:rsidRDefault="00D446B3">
      <w:pPr>
        <w:rPr>
          <w:sz w:val="22"/>
        </w:rPr>
      </w:pPr>
      <w:r>
        <w:rPr>
          <w:sz w:val="22"/>
        </w:rPr>
        <w:br/>
      </w:r>
    </w:p>
    <w:p w14:paraId="0BDCA243" w14:textId="77777777" w:rsidR="0028101B" w:rsidRDefault="00D446B3">
      <w:pPr>
        <w:pStyle w:val="Overskrift4"/>
        <w:spacing w:before="0" w:after="0"/>
      </w:pPr>
      <w:r>
        <w:t>Vurdering</w:t>
      </w:r>
    </w:p>
    <w:p w14:paraId="2A49A65A"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5504206" w14:textId="77777777">
        <w:tc>
          <w:tcPr>
            <w:tcW w:w="720" w:type="dxa"/>
            <w:noWrap/>
            <w:tcMar>
              <w:right w:w="80" w:type="dxa"/>
            </w:tcMar>
          </w:tcPr>
          <w:p w14:paraId="667FA582" w14:textId="77777777" w:rsidR="0028101B" w:rsidRDefault="00D446B3">
            <w:pPr>
              <w:rPr>
                <w:sz w:val="22"/>
              </w:rPr>
            </w:pPr>
            <w:r>
              <w:rPr>
                <w:sz w:val="22"/>
              </w:rPr>
              <w:t>(71)</w:t>
            </w:r>
          </w:p>
        </w:tc>
        <w:tc>
          <w:tcPr>
            <w:tcW w:w="0" w:type="auto"/>
            <w:tcMar>
              <w:right w:w="80" w:type="dxa"/>
            </w:tcMar>
          </w:tcPr>
          <w:p w14:paraId="49FD4BC3" w14:textId="77777777" w:rsidR="0028101B" w:rsidRDefault="00D446B3">
            <w:pPr>
              <w:rPr>
                <w:sz w:val="22"/>
              </w:rPr>
            </w:pPr>
            <w:r>
              <w:rPr>
                <w:sz w:val="22"/>
              </w:rPr>
              <w:t>Jeg er kommet til at de opplysningene som ble gitt om faktiske forhold, i det alt vesentlige var korrekte.</w:t>
            </w:r>
          </w:p>
        </w:tc>
      </w:tr>
    </w:tbl>
    <w:p w14:paraId="43018CE9" w14:textId="77777777" w:rsidR="0028101B" w:rsidRDefault="0028101B">
      <w:pPr>
        <w:rPr>
          <w:sz w:val="6"/>
        </w:rPr>
      </w:pPr>
    </w:p>
    <w:p w14:paraId="2D87B158"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2B7ABBA5" w14:textId="77777777">
        <w:tc>
          <w:tcPr>
            <w:tcW w:w="720" w:type="dxa"/>
            <w:noWrap/>
            <w:tcMar>
              <w:right w:w="80" w:type="dxa"/>
            </w:tcMar>
          </w:tcPr>
          <w:p w14:paraId="49AB499F" w14:textId="77777777" w:rsidR="0028101B" w:rsidRDefault="00D446B3">
            <w:pPr>
              <w:rPr>
                <w:sz w:val="22"/>
              </w:rPr>
            </w:pPr>
            <w:r>
              <w:rPr>
                <w:sz w:val="22"/>
              </w:rPr>
              <w:t>(72)</w:t>
            </w:r>
          </w:p>
        </w:tc>
        <w:tc>
          <w:tcPr>
            <w:tcW w:w="0" w:type="auto"/>
            <w:tcMar>
              <w:right w:w="80" w:type="dxa"/>
            </w:tcMar>
          </w:tcPr>
          <w:p w14:paraId="4B342BA2" w14:textId="77777777" w:rsidR="0028101B" w:rsidRDefault="00D446B3">
            <w:pPr>
              <w:rPr>
                <w:sz w:val="22"/>
              </w:rPr>
            </w:pPr>
            <w:r>
              <w:rPr>
                <w:sz w:val="22"/>
              </w:rPr>
              <w:t xml:space="preserve">Jeg nevner kort at investorene også har vist til at det foreligger brudd på </w:t>
            </w:r>
            <w:hyperlink r:id="rId47" w:anchor="reference/lov/1997-06-13-44/§10-3" w:history="1">
              <w:r>
                <w:rPr>
                  <w:sz w:val="22"/>
                </w:rPr>
                <w:t>aksjeloven § 10-3</w:t>
              </w:r>
            </w:hyperlink>
            <w:r>
              <w:rPr>
                <w:sz w:val="22"/>
              </w:rPr>
              <w:t xml:space="preserve"> som pålegger styret å utarbeide forslag om kapitalforhøyelsen til generalforsamlingen. Partene er enige om at det ikke ble avholdt formelt styremøte i forkant av generalforsamlingen. Jeg kan ikke se at dette har hatt noen betydning for aksjetegnernes beslutning om å investere i </w:t>
            </w:r>
            <w:proofErr w:type="spellStart"/>
            <w:r>
              <w:rPr>
                <w:sz w:val="22"/>
              </w:rPr>
              <w:t>Spiro</w:t>
            </w:r>
            <w:proofErr w:type="spellEnd"/>
            <w:r>
              <w:rPr>
                <w:sz w:val="22"/>
              </w:rPr>
              <w:t>.</w:t>
            </w:r>
          </w:p>
        </w:tc>
      </w:tr>
    </w:tbl>
    <w:p w14:paraId="1E7D81F5" w14:textId="77777777" w:rsidR="0028101B" w:rsidRDefault="0028101B">
      <w:pPr>
        <w:rPr>
          <w:sz w:val="6"/>
        </w:rPr>
      </w:pPr>
    </w:p>
    <w:p w14:paraId="4FEF65C0"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8814AEC" w14:textId="77777777">
        <w:tc>
          <w:tcPr>
            <w:tcW w:w="720" w:type="dxa"/>
            <w:noWrap/>
            <w:tcMar>
              <w:right w:w="80" w:type="dxa"/>
            </w:tcMar>
          </w:tcPr>
          <w:p w14:paraId="2E1F571C" w14:textId="77777777" w:rsidR="0028101B" w:rsidRDefault="00D446B3">
            <w:pPr>
              <w:rPr>
                <w:sz w:val="22"/>
              </w:rPr>
            </w:pPr>
            <w:r>
              <w:rPr>
                <w:sz w:val="22"/>
              </w:rPr>
              <w:t>(73)</w:t>
            </w:r>
          </w:p>
        </w:tc>
        <w:tc>
          <w:tcPr>
            <w:tcW w:w="0" w:type="auto"/>
            <w:tcMar>
              <w:right w:w="80" w:type="dxa"/>
            </w:tcMar>
          </w:tcPr>
          <w:p w14:paraId="035D9748" w14:textId="77777777" w:rsidR="0028101B" w:rsidRDefault="00D446B3">
            <w:pPr>
              <w:rPr>
                <w:sz w:val="22"/>
              </w:rPr>
            </w:pPr>
            <w:r>
              <w:rPr>
                <w:sz w:val="22"/>
              </w:rPr>
              <w:t>Investorene har særlig fremhevet at de før investeringen ikke fikk opplysninger om feil eller risiko knyttet til fremstilling og masseproduksjon av produktet. De har anført at testingen var mangelfull, og at en mer omfattende testing på mennesker ville ha avdekket feilen. De har også gjort gjeldende at programvaren ikke forelå, og at det ikke var korrekt, slik det ble opplyst, at det bare handlet om en videreutvikling av eksisterende programvare.</w:t>
            </w:r>
          </w:p>
        </w:tc>
      </w:tr>
    </w:tbl>
    <w:p w14:paraId="53240830" w14:textId="77777777" w:rsidR="0028101B" w:rsidRDefault="0028101B">
      <w:pPr>
        <w:rPr>
          <w:sz w:val="6"/>
        </w:rPr>
      </w:pPr>
    </w:p>
    <w:p w14:paraId="285B0C14"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4934271A" w14:textId="77777777">
        <w:tc>
          <w:tcPr>
            <w:tcW w:w="720" w:type="dxa"/>
            <w:noWrap/>
            <w:tcMar>
              <w:right w:w="80" w:type="dxa"/>
            </w:tcMar>
          </w:tcPr>
          <w:p w14:paraId="47EB31A8" w14:textId="77777777" w:rsidR="0028101B" w:rsidRDefault="00D446B3">
            <w:pPr>
              <w:rPr>
                <w:sz w:val="22"/>
              </w:rPr>
            </w:pPr>
            <w:r>
              <w:rPr>
                <w:sz w:val="22"/>
              </w:rPr>
              <w:t>(74)</w:t>
            </w:r>
          </w:p>
        </w:tc>
        <w:tc>
          <w:tcPr>
            <w:tcW w:w="0" w:type="auto"/>
            <w:tcMar>
              <w:right w:w="80" w:type="dxa"/>
            </w:tcMar>
          </w:tcPr>
          <w:p w14:paraId="24DCE46E" w14:textId="77777777" w:rsidR="0028101B" w:rsidRDefault="00D446B3">
            <w:pPr>
              <w:rPr>
                <w:sz w:val="22"/>
              </w:rPr>
            </w:pPr>
            <w:r>
              <w:rPr>
                <w:sz w:val="22"/>
              </w:rPr>
              <w:t xml:space="preserve">Jeg kan ikke se at dette innebærer at det forut for emisjonen ble gitt uriktige opplysninger. Som det har fremgått, fikk investorene før kapitalutvidelsen opplyst at testingen av kateteret ble gjort med en prototype, at produktet ikke var ferdig godkjent for salg og at det skulle testes klinisk på Akershus </w:t>
            </w:r>
            <w:r>
              <w:rPr>
                <w:sz w:val="22"/>
              </w:rPr>
              <w:lastRenderedPageBreak/>
              <w:t>universitetssykehus. Produktet ble i februar 2015, som opplyst, levert til testing der. Programvaren fungerte da som forutsatt. Denne ble også testet på et sveitsisk sykehus som bare hadde enkelte forslag til forbedringer. Selskapet hadde for øvrig registrert en rekke salg dette året.</w:t>
            </w:r>
          </w:p>
        </w:tc>
      </w:tr>
    </w:tbl>
    <w:p w14:paraId="70CCF3CC" w14:textId="77777777" w:rsidR="0028101B" w:rsidRDefault="0028101B">
      <w:pPr>
        <w:rPr>
          <w:sz w:val="6"/>
        </w:rPr>
      </w:pPr>
    </w:p>
    <w:p w14:paraId="01B1D3C5"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27944C0E" w14:textId="77777777">
        <w:tc>
          <w:tcPr>
            <w:tcW w:w="720" w:type="dxa"/>
            <w:noWrap/>
            <w:tcMar>
              <w:right w:w="80" w:type="dxa"/>
            </w:tcMar>
          </w:tcPr>
          <w:p w14:paraId="1E15ED62" w14:textId="77777777" w:rsidR="0028101B" w:rsidRDefault="00D446B3">
            <w:pPr>
              <w:rPr>
                <w:sz w:val="22"/>
              </w:rPr>
            </w:pPr>
            <w:r>
              <w:rPr>
                <w:sz w:val="22"/>
              </w:rPr>
              <w:t>(75)</w:t>
            </w:r>
          </w:p>
        </w:tc>
        <w:tc>
          <w:tcPr>
            <w:tcW w:w="0" w:type="auto"/>
            <w:tcMar>
              <w:right w:w="80" w:type="dxa"/>
            </w:tcMar>
          </w:tcPr>
          <w:p w14:paraId="4A4080A6" w14:textId="77777777" w:rsidR="0028101B" w:rsidRDefault="00D446B3">
            <w:pPr>
              <w:rPr>
                <w:sz w:val="22"/>
              </w:rPr>
            </w:pPr>
            <w:r>
              <w:rPr>
                <w:sz w:val="22"/>
              </w:rPr>
              <w:t xml:space="preserve">Sakkyndig vitne, Frode </w:t>
            </w:r>
            <w:proofErr w:type="spellStart"/>
            <w:r>
              <w:rPr>
                <w:sz w:val="22"/>
              </w:rPr>
              <w:t>Strisland</w:t>
            </w:r>
            <w:proofErr w:type="spellEnd"/>
            <w:r>
              <w:rPr>
                <w:sz w:val="22"/>
              </w:rPr>
              <w:t>, har i sin forklaring for Høyesterett heller ikke kunnet påvise at det ble gitt uriktige opplysninger før kapitalutvidelsen, men etter hans oppfatning var produktet ikke tilstrekkelig testet på investeringstidspunktet. Som det vil fremgå, er dette etter mitt syn slik denne saken ligger an, ikke tilstrekkelig til å holde styremedlemmene erstatningsansvarlige.</w:t>
            </w:r>
          </w:p>
        </w:tc>
      </w:tr>
    </w:tbl>
    <w:p w14:paraId="7F367033" w14:textId="77777777" w:rsidR="0028101B" w:rsidRDefault="0028101B">
      <w:pPr>
        <w:rPr>
          <w:sz w:val="6"/>
        </w:rPr>
      </w:pPr>
    </w:p>
    <w:p w14:paraId="667B60CB"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DE76BE5" w14:textId="77777777">
        <w:tc>
          <w:tcPr>
            <w:tcW w:w="720" w:type="dxa"/>
            <w:noWrap/>
            <w:tcMar>
              <w:right w:w="80" w:type="dxa"/>
            </w:tcMar>
          </w:tcPr>
          <w:p w14:paraId="263D26C9" w14:textId="77777777" w:rsidR="0028101B" w:rsidRDefault="00D446B3">
            <w:pPr>
              <w:rPr>
                <w:sz w:val="22"/>
              </w:rPr>
            </w:pPr>
            <w:r>
              <w:rPr>
                <w:sz w:val="22"/>
              </w:rPr>
              <w:t>(76)</w:t>
            </w:r>
          </w:p>
        </w:tc>
        <w:tc>
          <w:tcPr>
            <w:tcW w:w="0" w:type="auto"/>
            <w:tcMar>
              <w:right w:w="80" w:type="dxa"/>
            </w:tcMar>
          </w:tcPr>
          <w:p w14:paraId="1305BB19" w14:textId="77777777" w:rsidR="0028101B" w:rsidRDefault="00D446B3">
            <w:pPr>
              <w:rPr>
                <w:sz w:val="22"/>
              </w:rPr>
            </w:pPr>
            <w:r>
              <w:rPr>
                <w:sz w:val="22"/>
              </w:rPr>
              <w:t xml:space="preserve">Klinisk testing krever </w:t>
            </w:r>
            <w:r>
              <w:rPr>
                <w:sz w:val="22"/>
              </w:rPr>
              <w:t>såkalt CB-godkjenning, mens salg som nevnt krever CE-godkjenning. Styremedlemmene har erkjent at det var en feilvurdering at CB-godkjenning ikke ble innhentet først, slik at produktet kunne ha vært testet i større omfang. Jeg er enig i at dette burde ha vært gjort. Styrets vurdering av at prototypen egnet seg til masseproduksjon av et produkt som tålte 20 gangers gjenbruk, var således objektivt sett uriktig.</w:t>
            </w:r>
          </w:p>
        </w:tc>
      </w:tr>
    </w:tbl>
    <w:p w14:paraId="12232AC7" w14:textId="77777777" w:rsidR="0028101B" w:rsidRDefault="0028101B">
      <w:pPr>
        <w:rPr>
          <w:sz w:val="6"/>
        </w:rPr>
      </w:pPr>
    </w:p>
    <w:p w14:paraId="6A2CCE0F"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D885B7B" w14:textId="77777777">
        <w:tc>
          <w:tcPr>
            <w:tcW w:w="720" w:type="dxa"/>
            <w:noWrap/>
            <w:tcMar>
              <w:right w:w="80" w:type="dxa"/>
            </w:tcMar>
          </w:tcPr>
          <w:p w14:paraId="53EA1760" w14:textId="77777777" w:rsidR="0028101B" w:rsidRDefault="00D446B3">
            <w:pPr>
              <w:rPr>
                <w:sz w:val="22"/>
              </w:rPr>
            </w:pPr>
            <w:r>
              <w:rPr>
                <w:sz w:val="22"/>
              </w:rPr>
              <w:t>(77)</w:t>
            </w:r>
          </w:p>
        </w:tc>
        <w:tc>
          <w:tcPr>
            <w:tcW w:w="0" w:type="auto"/>
            <w:tcMar>
              <w:right w:w="80" w:type="dxa"/>
            </w:tcMar>
          </w:tcPr>
          <w:p w14:paraId="568F965D" w14:textId="77777777" w:rsidR="0028101B" w:rsidRDefault="00D446B3">
            <w:pPr>
              <w:rPr>
                <w:sz w:val="22"/>
              </w:rPr>
            </w:pPr>
            <w:r>
              <w:rPr>
                <w:sz w:val="22"/>
              </w:rPr>
              <w:t>Spørsmålet som gjenstår, blir da om styremedlemmene subjektivt sett i tilstrekkelig grad kan bebreides for sine feilvurderinger slik at erstatningsansvar kan pålegges. Jeg er etter en samlet vurdering kommet til at spørsmålet må besvares benektende.</w:t>
            </w:r>
          </w:p>
        </w:tc>
      </w:tr>
    </w:tbl>
    <w:p w14:paraId="532A5486" w14:textId="77777777" w:rsidR="0028101B" w:rsidRDefault="0028101B">
      <w:pPr>
        <w:rPr>
          <w:sz w:val="6"/>
        </w:rPr>
      </w:pPr>
    </w:p>
    <w:p w14:paraId="19F98687"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49BB0656" w14:textId="77777777">
        <w:tc>
          <w:tcPr>
            <w:tcW w:w="720" w:type="dxa"/>
            <w:noWrap/>
            <w:tcMar>
              <w:right w:w="80" w:type="dxa"/>
            </w:tcMar>
          </w:tcPr>
          <w:p w14:paraId="14AAA776" w14:textId="77777777" w:rsidR="0028101B" w:rsidRDefault="00D446B3">
            <w:pPr>
              <w:rPr>
                <w:sz w:val="22"/>
              </w:rPr>
            </w:pPr>
            <w:r>
              <w:rPr>
                <w:sz w:val="22"/>
              </w:rPr>
              <w:t>(78)</w:t>
            </w:r>
          </w:p>
        </w:tc>
        <w:tc>
          <w:tcPr>
            <w:tcW w:w="0" w:type="auto"/>
            <w:tcMar>
              <w:right w:w="80" w:type="dxa"/>
            </w:tcMar>
          </w:tcPr>
          <w:p w14:paraId="71E7191B" w14:textId="77777777" w:rsidR="0028101B" w:rsidRDefault="00D446B3">
            <w:pPr>
              <w:rPr>
                <w:sz w:val="22"/>
              </w:rPr>
            </w:pPr>
            <w:r>
              <w:rPr>
                <w:sz w:val="22"/>
              </w:rPr>
              <w:t xml:space="preserve">Styremedlemmene har riktignok </w:t>
            </w:r>
            <w:r>
              <w:rPr>
                <w:i/>
                <w:sz w:val="22"/>
              </w:rPr>
              <w:t>feilvurdert</w:t>
            </w:r>
            <w:r>
              <w:rPr>
                <w:sz w:val="22"/>
              </w:rPr>
              <w:t xml:space="preserve"> situasjonen, men terskelen for i etterkant å ilegge erstatningsansvar på et slikt grunnlag, er høy, jf. blant annet </w:t>
            </w:r>
            <w:hyperlink r:id="rId48" w:anchor="reference/avgjorelse/rt-1991-119-26b" w:history="1">
              <w:r>
                <w:rPr>
                  <w:sz w:val="22"/>
                </w:rPr>
                <w:t>Rt-1991-119</w:t>
              </w:r>
            </w:hyperlink>
            <w:r>
              <w:rPr>
                <w:sz w:val="22"/>
              </w:rPr>
              <w:t xml:space="preserve"> </w:t>
            </w:r>
            <w:proofErr w:type="spellStart"/>
            <w:r>
              <w:rPr>
                <w:i/>
                <w:sz w:val="22"/>
              </w:rPr>
              <w:t>Normount</w:t>
            </w:r>
            <w:proofErr w:type="spellEnd"/>
            <w:r>
              <w:rPr>
                <w:sz w:val="22"/>
              </w:rPr>
              <w:t xml:space="preserve"> og </w:t>
            </w:r>
            <w:hyperlink r:id="rId49" w:anchor="reference/avgjorelse/hr-2017-2375-a" w:history="1">
              <w:r>
                <w:rPr>
                  <w:sz w:val="22"/>
                </w:rPr>
                <w:t>HR-2017-2375-A</w:t>
              </w:r>
            </w:hyperlink>
            <w:r>
              <w:rPr>
                <w:sz w:val="22"/>
              </w:rPr>
              <w:t xml:space="preserve"> </w:t>
            </w:r>
            <w:proofErr w:type="spellStart"/>
            <w:r>
              <w:rPr>
                <w:i/>
                <w:sz w:val="22"/>
              </w:rPr>
              <w:t>Ulvesund</w:t>
            </w:r>
            <w:proofErr w:type="spellEnd"/>
            <w:r>
              <w:rPr>
                <w:sz w:val="22"/>
              </w:rPr>
              <w:t xml:space="preserve"> </w:t>
            </w:r>
            <w:hyperlink r:id="rId50" w:anchor="reference/avgjorelse/hr-2017-2375-a/a42" w:history="1">
              <w:r>
                <w:rPr>
                  <w:sz w:val="22"/>
                </w:rPr>
                <w:t>avsnitt 42</w:t>
              </w:r>
            </w:hyperlink>
            <w:r>
              <w:rPr>
                <w:sz w:val="22"/>
              </w:rPr>
              <w:t>. Jeg tilføyer at investorene som nevnt som hovedregel selv må bære risikoen for at forventninger om fremtiden slår til. Jeg vektlegger også at emisjonen var rettet mot profesjonelle investorer. Det fremgår av det jeg har redegjort for, at investorene i denne saken var klar over at det fremdeles heftet teknisk risiko knyttet til utviklingen av selskapets produkt.</w:t>
            </w:r>
          </w:p>
        </w:tc>
      </w:tr>
    </w:tbl>
    <w:p w14:paraId="26EEEFE1" w14:textId="77777777" w:rsidR="0028101B" w:rsidRDefault="0028101B">
      <w:pPr>
        <w:rPr>
          <w:sz w:val="22"/>
        </w:rPr>
      </w:pPr>
      <w:bookmarkStart w:id="13" w:name="KAPITTEL_4-3"/>
      <w:bookmarkEnd w:id="12"/>
      <w:bookmarkEnd w:id="10"/>
    </w:p>
    <w:p w14:paraId="37754E06" w14:textId="77777777" w:rsidR="0028101B" w:rsidRDefault="00D446B3">
      <w:pPr>
        <w:rPr>
          <w:sz w:val="22"/>
        </w:rPr>
      </w:pPr>
      <w:r>
        <w:rPr>
          <w:sz w:val="22"/>
        </w:rPr>
        <w:br/>
      </w:r>
    </w:p>
    <w:p w14:paraId="2A3F1A5E" w14:textId="77777777" w:rsidR="0028101B" w:rsidRDefault="00D446B3">
      <w:pPr>
        <w:pStyle w:val="Overskrift3"/>
        <w:spacing w:before="0" w:after="0"/>
      </w:pPr>
      <w:r>
        <w:t>Konklusjon og sakskostnader</w:t>
      </w:r>
    </w:p>
    <w:p w14:paraId="51E347FD"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B42172F" w14:textId="77777777">
        <w:tc>
          <w:tcPr>
            <w:tcW w:w="720" w:type="dxa"/>
            <w:noWrap/>
            <w:tcMar>
              <w:right w:w="80" w:type="dxa"/>
            </w:tcMar>
          </w:tcPr>
          <w:p w14:paraId="174D8576" w14:textId="77777777" w:rsidR="0028101B" w:rsidRDefault="00D446B3">
            <w:pPr>
              <w:rPr>
                <w:sz w:val="22"/>
              </w:rPr>
            </w:pPr>
            <w:r>
              <w:rPr>
                <w:sz w:val="22"/>
              </w:rPr>
              <w:t>(79)</w:t>
            </w:r>
          </w:p>
        </w:tc>
        <w:tc>
          <w:tcPr>
            <w:tcW w:w="0" w:type="auto"/>
            <w:tcMar>
              <w:right w:w="80" w:type="dxa"/>
            </w:tcMar>
          </w:tcPr>
          <w:p w14:paraId="1405BD76" w14:textId="77777777" w:rsidR="0028101B" w:rsidRDefault="00D446B3">
            <w:pPr>
              <w:rPr>
                <w:sz w:val="22"/>
              </w:rPr>
            </w:pPr>
            <w:r>
              <w:rPr>
                <w:sz w:val="22"/>
              </w:rPr>
              <w:t>Min konklusjon blir etter dette at styremedlemmenes anke fører frem.</w:t>
            </w:r>
          </w:p>
        </w:tc>
      </w:tr>
    </w:tbl>
    <w:p w14:paraId="71802C34" w14:textId="77777777" w:rsidR="0028101B" w:rsidRDefault="0028101B">
      <w:pPr>
        <w:rPr>
          <w:sz w:val="6"/>
        </w:rPr>
      </w:pPr>
    </w:p>
    <w:p w14:paraId="5D2CC7B1"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6508CA94" w14:textId="77777777">
        <w:tc>
          <w:tcPr>
            <w:tcW w:w="720" w:type="dxa"/>
            <w:noWrap/>
            <w:tcMar>
              <w:right w:w="80" w:type="dxa"/>
            </w:tcMar>
          </w:tcPr>
          <w:p w14:paraId="19F5B46F" w14:textId="77777777" w:rsidR="0028101B" w:rsidRDefault="00D446B3">
            <w:pPr>
              <w:rPr>
                <w:sz w:val="22"/>
              </w:rPr>
            </w:pPr>
            <w:r>
              <w:rPr>
                <w:sz w:val="22"/>
              </w:rPr>
              <w:t>(80)</w:t>
            </w:r>
          </w:p>
        </w:tc>
        <w:tc>
          <w:tcPr>
            <w:tcW w:w="0" w:type="auto"/>
            <w:tcMar>
              <w:right w:w="80" w:type="dxa"/>
            </w:tcMar>
          </w:tcPr>
          <w:p w14:paraId="0217C5B8" w14:textId="77777777" w:rsidR="0028101B" w:rsidRDefault="00D446B3">
            <w:pPr>
              <w:rPr>
                <w:sz w:val="22"/>
              </w:rPr>
            </w:pPr>
            <w:r>
              <w:rPr>
                <w:sz w:val="22"/>
              </w:rPr>
              <w:t xml:space="preserve">Styremedlemmene har vunnet saken og har i utgangspunktet krav på erstatning for sine sakskostnader for alle instanser, jf. </w:t>
            </w:r>
            <w:hyperlink r:id="rId51" w:anchor="reference/lov/2005-06-17-90/§20-2" w:history="1">
              <w:r>
                <w:rPr>
                  <w:sz w:val="22"/>
                </w:rPr>
                <w:t>tvisteloven § 20-2</w:t>
              </w:r>
            </w:hyperlink>
            <w:r>
              <w:rPr>
                <w:sz w:val="22"/>
              </w:rPr>
              <w:t xml:space="preserve"> første ledd. Kravet er samlet 7 696 748,50 kroner inklusive merverdiavgift. Motparten har ikke hatt innvendinger til kravet.</w:t>
            </w:r>
          </w:p>
        </w:tc>
      </w:tr>
    </w:tbl>
    <w:p w14:paraId="1D508C73" w14:textId="77777777" w:rsidR="0028101B" w:rsidRDefault="0028101B">
      <w:pPr>
        <w:rPr>
          <w:sz w:val="6"/>
        </w:rPr>
      </w:pPr>
    </w:p>
    <w:p w14:paraId="3628EBD9"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1034412" w14:textId="77777777">
        <w:tc>
          <w:tcPr>
            <w:tcW w:w="720" w:type="dxa"/>
            <w:noWrap/>
            <w:tcMar>
              <w:right w:w="80" w:type="dxa"/>
            </w:tcMar>
          </w:tcPr>
          <w:p w14:paraId="5AECB607" w14:textId="77777777" w:rsidR="0028101B" w:rsidRDefault="00D446B3">
            <w:pPr>
              <w:rPr>
                <w:sz w:val="22"/>
              </w:rPr>
            </w:pPr>
            <w:r>
              <w:rPr>
                <w:sz w:val="22"/>
              </w:rPr>
              <w:t>(81)</w:t>
            </w:r>
          </w:p>
        </w:tc>
        <w:tc>
          <w:tcPr>
            <w:tcW w:w="0" w:type="auto"/>
            <w:tcMar>
              <w:right w:w="80" w:type="dxa"/>
            </w:tcMar>
          </w:tcPr>
          <w:p w14:paraId="46100E59" w14:textId="77777777" w:rsidR="0028101B" w:rsidRDefault="00D446B3">
            <w:pPr>
              <w:rPr>
                <w:sz w:val="22"/>
              </w:rPr>
            </w:pPr>
            <w:r>
              <w:rPr>
                <w:sz w:val="22"/>
              </w:rPr>
              <w:t>For Høyesterett er det krevd dekket 2 789 543,75 kroner inklusive merverdiavgift i salær. Salærkravet uten merverdiavgift er på 2 231 635 kroner basert på 517,25 timers arbeid. I tillegg kommer utlegg på 65 578 kroner, som inkluderer reise og opphold for prosessfullmektigen på 28 618 kroner og rettsgebyr på 36 690 kroner.</w:t>
            </w:r>
          </w:p>
        </w:tc>
      </w:tr>
    </w:tbl>
    <w:p w14:paraId="25575B48" w14:textId="77777777" w:rsidR="0028101B" w:rsidRDefault="0028101B">
      <w:pPr>
        <w:rPr>
          <w:sz w:val="6"/>
        </w:rPr>
      </w:pPr>
    </w:p>
    <w:p w14:paraId="23558CA2"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5E3D8AC3" w14:textId="77777777">
        <w:tc>
          <w:tcPr>
            <w:tcW w:w="720" w:type="dxa"/>
            <w:noWrap/>
            <w:tcMar>
              <w:right w:w="80" w:type="dxa"/>
            </w:tcMar>
          </w:tcPr>
          <w:p w14:paraId="2400F487" w14:textId="77777777" w:rsidR="0028101B" w:rsidRDefault="00D446B3">
            <w:pPr>
              <w:rPr>
                <w:sz w:val="22"/>
              </w:rPr>
            </w:pPr>
            <w:r>
              <w:rPr>
                <w:sz w:val="22"/>
              </w:rPr>
              <w:t>(82)</w:t>
            </w:r>
          </w:p>
        </w:tc>
        <w:tc>
          <w:tcPr>
            <w:tcW w:w="0" w:type="auto"/>
            <w:tcMar>
              <w:right w:w="80" w:type="dxa"/>
            </w:tcMar>
          </w:tcPr>
          <w:p w14:paraId="53B19211" w14:textId="77777777" w:rsidR="0028101B" w:rsidRDefault="00D446B3">
            <w:pPr>
              <w:rPr>
                <w:sz w:val="22"/>
              </w:rPr>
            </w:pPr>
            <w:r>
              <w:rPr>
                <w:sz w:val="22"/>
              </w:rPr>
              <w:t xml:space="preserve">Styremedlemmene har imidlertid bare krav på å få dekket «alle nødvendige kostnader ved saken», jf. </w:t>
            </w:r>
            <w:hyperlink r:id="rId52" w:anchor="reference/lov/2005-06-17-90/§20-5" w:history="1">
              <w:r>
                <w:rPr>
                  <w:sz w:val="22"/>
                </w:rPr>
                <w:t>tvisteloven § 20-5</w:t>
              </w:r>
            </w:hyperlink>
            <w:r>
              <w:rPr>
                <w:sz w:val="22"/>
              </w:rPr>
              <w:t xml:space="preserve"> første ledd.</w:t>
            </w:r>
          </w:p>
        </w:tc>
      </w:tr>
    </w:tbl>
    <w:p w14:paraId="7A014CF4" w14:textId="77777777" w:rsidR="0028101B" w:rsidRDefault="0028101B">
      <w:pPr>
        <w:rPr>
          <w:sz w:val="6"/>
        </w:rPr>
      </w:pPr>
    </w:p>
    <w:p w14:paraId="1EF21EFC"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45FBA17" w14:textId="77777777">
        <w:tc>
          <w:tcPr>
            <w:tcW w:w="720" w:type="dxa"/>
            <w:noWrap/>
            <w:tcMar>
              <w:right w:w="80" w:type="dxa"/>
            </w:tcMar>
          </w:tcPr>
          <w:p w14:paraId="499B6437" w14:textId="77777777" w:rsidR="0028101B" w:rsidRDefault="00D446B3">
            <w:pPr>
              <w:rPr>
                <w:sz w:val="22"/>
              </w:rPr>
            </w:pPr>
            <w:r>
              <w:rPr>
                <w:sz w:val="22"/>
              </w:rPr>
              <w:t>(83)</w:t>
            </w:r>
          </w:p>
        </w:tc>
        <w:tc>
          <w:tcPr>
            <w:tcW w:w="0" w:type="auto"/>
            <w:tcMar>
              <w:right w:w="80" w:type="dxa"/>
            </w:tcMar>
          </w:tcPr>
          <w:p w14:paraId="6960746F" w14:textId="77777777" w:rsidR="0028101B" w:rsidRDefault="00D446B3">
            <w:pPr>
              <w:rPr>
                <w:sz w:val="22"/>
              </w:rPr>
            </w:pPr>
            <w:r>
              <w:rPr>
                <w:sz w:val="22"/>
              </w:rPr>
              <w:t xml:space="preserve">Etter mitt syn overstiger det samlede salærkravet det som kan anses som «nødvendige kostnader» som kan kreves erstattet av motparten, jf. </w:t>
            </w:r>
            <w:hyperlink r:id="rId53" w:anchor="reference/lov/2005-06-17-90/§20-5" w:history="1">
              <w:r>
                <w:rPr>
                  <w:sz w:val="22"/>
                </w:rPr>
                <w:t>tvisteloven § 20-5</w:t>
              </w:r>
            </w:hyperlink>
            <w:r>
              <w:rPr>
                <w:sz w:val="22"/>
              </w:rPr>
              <w:t>.</w:t>
            </w:r>
          </w:p>
        </w:tc>
      </w:tr>
    </w:tbl>
    <w:p w14:paraId="5772D02F" w14:textId="77777777" w:rsidR="0028101B" w:rsidRDefault="0028101B">
      <w:pPr>
        <w:rPr>
          <w:sz w:val="6"/>
        </w:rPr>
      </w:pPr>
    </w:p>
    <w:p w14:paraId="6AA96E04"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4448184" w14:textId="77777777">
        <w:tc>
          <w:tcPr>
            <w:tcW w:w="720" w:type="dxa"/>
            <w:noWrap/>
            <w:tcMar>
              <w:right w:w="80" w:type="dxa"/>
            </w:tcMar>
          </w:tcPr>
          <w:p w14:paraId="00EE9295" w14:textId="77777777" w:rsidR="0028101B" w:rsidRDefault="00D446B3">
            <w:pPr>
              <w:rPr>
                <w:sz w:val="22"/>
              </w:rPr>
            </w:pPr>
            <w:r>
              <w:rPr>
                <w:sz w:val="22"/>
              </w:rPr>
              <w:t>(84)</w:t>
            </w:r>
          </w:p>
        </w:tc>
        <w:tc>
          <w:tcPr>
            <w:tcW w:w="0" w:type="auto"/>
            <w:tcMar>
              <w:right w:w="80" w:type="dxa"/>
            </w:tcMar>
          </w:tcPr>
          <w:p w14:paraId="5B7A0CA8" w14:textId="77777777" w:rsidR="0028101B" w:rsidRDefault="00D446B3">
            <w:pPr>
              <w:rPr>
                <w:sz w:val="22"/>
              </w:rPr>
            </w:pPr>
            <w:r>
              <w:rPr>
                <w:sz w:val="22"/>
              </w:rPr>
              <w:t xml:space="preserve">Advokat Riksfjord har representert styremedlemmene også for de tidligere instansene, slik at arbeid i én instans i betydelig grad må kunne forventes gjenbrukt i neste instans. Dette må ha lettet forberedelsen, jf. </w:t>
            </w:r>
            <w:hyperlink r:id="rId54" w:anchor="reference/avgjorelse/hr-2022-1132-a/a75" w:history="1">
              <w:r>
                <w:rPr>
                  <w:sz w:val="22"/>
                </w:rPr>
                <w:t>HR-2022-1132-A avsnitt 75</w:t>
              </w:r>
            </w:hyperlink>
            <w:r>
              <w:rPr>
                <w:sz w:val="22"/>
              </w:rPr>
              <w:t xml:space="preserve"> med videre henvisninger.</w:t>
            </w:r>
          </w:p>
        </w:tc>
      </w:tr>
    </w:tbl>
    <w:p w14:paraId="03298D42" w14:textId="77777777" w:rsidR="0028101B" w:rsidRDefault="0028101B">
      <w:pPr>
        <w:rPr>
          <w:sz w:val="6"/>
        </w:rPr>
      </w:pPr>
    </w:p>
    <w:p w14:paraId="6C1CCA75"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0D035D0" w14:textId="77777777">
        <w:tc>
          <w:tcPr>
            <w:tcW w:w="720" w:type="dxa"/>
            <w:noWrap/>
            <w:tcMar>
              <w:right w:w="80" w:type="dxa"/>
            </w:tcMar>
          </w:tcPr>
          <w:p w14:paraId="278FCE2A" w14:textId="77777777" w:rsidR="0028101B" w:rsidRDefault="00D446B3">
            <w:pPr>
              <w:rPr>
                <w:sz w:val="22"/>
              </w:rPr>
            </w:pPr>
            <w:r>
              <w:rPr>
                <w:sz w:val="22"/>
              </w:rPr>
              <w:t>(85)</w:t>
            </w:r>
          </w:p>
        </w:tc>
        <w:tc>
          <w:tcPr>
            <w:tcW w:w="0" w:type="auto"/>
            <w:tcMar>
              <w:right w:w="80" w:type="dxa"/>
            </w:tcMar>
          </w:tcPr>
          <w:p w14:paraId="52E4DBC7" w14:textId="77777777" w:rsidR="0028101B" w:rsidRDefault="00D446B3">
            <w:pPr>
              <w:rPr>
                <w:sz w:val="22"/>
              </w:rPr>
            </w:pPr>
            <w:r>
              <w:rPr>
                <w:sz w:val="22"/>
              </w:rPr>
              <w:t xml:space="preserve">Timeantallet på 517,25 fremstår etter min vurdering som for høyt. Som påpekt av advokat Riksfjord, ville timeantallet vært en god del lavere dersom ikke motparten innledet en prosess med bevisopptak </w:t>
            </w:r>
            <w:r>
              <w:rPr>
                <w:sz w:val="22"/>
              </w:rPr>
              <w:lastRenderedPageBreak/>
              <w:t>fem uker før ankeforhandling. Han fremhevet særlig arbeidet med å utarbeide spørsmål til det sakkyndige vitnet, at bevisopptaket ble gjennomført i Hordaland tingrett over to dager og at sakkyndigrapporten var på over 17 sider. Den sakkyndige hadde ikke tidligere avgitt skriftlig erklæring i saken.</w:t>
            </w:r>
          </w:p>
        </w:tc>
      </w:tr>
    </w:tbl>
    <w:p w14:paraId="3EAD4235" w14:textId="77777777" w:rsidR="0028101B" w:rsidRDefault="0028101B">
      <w:pPr>
        <w:rPr>
          <w:sz w:val="6"/>
        </w:rPr>
      </w:pPr>
    </w:p>
    <w:p w14:paraId="17D1B656"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84F1D20" w14:textId="77777777">
        <w:tc>
          <w:tcPr>
            <w:tcW w:w="720" w:type="dxa"/>
            <w:noWrap/>
            <w:tcMar>
              <w:right w:w="80" w:type="dxa"/>
            </w:tcMar>
          </w:tcPr>
          <w:p w14:paraId="634CB4DE" w14:textId="77777777" w:rsidR="0028101B" w:rsidRDefault="00D446B3">
            <w:pPr>
              <w:rPr>
                <w:sz w:val="22"/>
              </w:rPr>
            </w:pPr>
            <w:r>
              <w:rPr>
                <w:sz w:val="22"/>
              </w:rPr>
              <w:t>(86)</w:t>
            </w:r>
          </w:p>
        </w:tc>
        <w:tc>
          <w:tcPr>
            <w:tcW w:w="0" w:type="auto"/>
            <w:tcMar>
              <w:right w:w="80" w:type="dxa"/>
            </w:tcMar>
          </w:tcPr>
          <w:p w14:paraId="10C38843" w14:textId="77777777" w:rsidR="0028101B" w:rsidRDefault="00D446B3">
            <w:pPr>
              <w:rPr>
                <w:sz w:val="22"/>
              </w:rPr>
            </w:pPr>
            <w:r>
              <w:rPr>
                <w:sz w:val="22"/>
              </w:rPr>
              <w:t>Samlet sett er jeg likevel kommet til at kravet går ut over det nødvendige. Salæret for Høyesterett fastsettes til 1 850 000 kroner inkludert merverdiavgift</w:t>
            </w:r>
          </w:p>
        </w:tc>
      </w:tr>
    </w:tbl>
    <w:p w14:paraId="4E1D2399" w14:textId="77777777" w:rsidR="0028101B" w:rsidRDefault="0028101B">
      <w:pPr>
        <w:rPr>
          <w:sz w:val="6"/>
        </w:rPr>
      </w:pPr>
    </w:p>
    <w:p w14:paraId="4EEB8FA7"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51F2259" w14:textId="77777777">
        <w:tc>
          <w:tcPr>
            <w:tcW w:w="720" w:type="dxa"/>
            <w:noWrap/>
            <w:tcMar>
              <w:right w:w="80" w:type="dxa"/>
            </w:tcMar>
          </w:tcPr>
          <w:p w14:paraId="3DF2E929" w14:textId="77777777" w:rsidR="0028101B" w:rsidRDefault="00D446B3">
            <w:pPr>
              <w:rPr>
                <w:sz w:val="22"/>
              </w:rPr>
            </w:pPr>
            <w:r>
              <w:rPr>
                <w:sz w:val="22"/>
              </w:rPr>
              <w:t>(87)</w:t>
            </w:r>
          </w:p>
        </w:tc>
        <w:tc>
          <w:tcPr>
            <w:tcW w:w="0" w:type="auto"/>
            <w:tcMar>
              <w:right w:w="80" w:type="dxa"/>
            </w:tcMar>
          </w:tcPr>
          <w:p w14:paraId="2AE7AE86" w14:textId="77777777" w:rsidR="0028101B" w:rsidRDefault="00D446B3">
            <w:pPr>
              <w:rPr>
                <w:sz w:val="22"/>
              </w:rPr>
            </w:pPr>
            <w:r>
              <w:rPr>
                <w:sz w:val="22"/>
              </w:rPr>
              <w:t xml:space="preserve">Rettsgebyr for Høyesterett er krevd dekket med 36 690 kroner. For styremedlemmenes motanke skal det bare betales inngangsgebyr på 24 R, jf. </w:t>
            </w:r>
            <w:hyperlink r:id="rId55" w:anchor="reference/lov/1982-12-17-86/§8" w:history="1">
              <w:r>
                <w:rPr>
                  <w:sz w:val="22"/>
                </w:rPr>
                <w:t>rettsgebyrloven § 8</w:t>
              </w:r>
            </w:hyperlink>
            <w:r>
              <w:rPr>
                <w:sz w:val="22"/>
              </w:rPr>
              <w:t>, som tilsvarer 29 352 kroner. Utlegg til reise og opphold for prosessfullmektigen utgjør 28 618 kroner.</w:t>
            </w:r>
          </w:p>
        </w:tc>
      </w:tr>
    </w:tbl>
    <w:p w14:paraId="667577BD" w14:textId="77777777" w:rsidR="0028101B" w:rsidRDefault="0028101B">
      <w:pPr>
        <w:rPr>
          <w:sz w:val="6"/>
        </w:rPr>
      </w:pPr>
    </w:p>
    <w:p w14:paraId="437F6B78"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2DD2DBD9" w14:textId="77777777">
        <w:tc>
          <w:tcPr>
            <w:tcW w:w="720" w:type="dxa"/>
            <w:noWrap/>
            <w:tcMar>
              <w:right w:w="80" w:type="dxa"/>
            </w:tcMar>
          </w:tcPr>
          <w:p w14:paraId="0A4AC452" w14:textId="77777777" w:rsidR="0028101B" w:rsidRDefault="00D446B3">
            <w:pPr>
              <w:rPr>
                <w:sz w:val="22"/>
              </w:rPr>
            </w:pPr>
            <w:r>
              <w:rPr>
                <w:sz w:val="22"/>
              </w:rPr>
              <w:t>(88)</w:t>
            </w:r>
          </w:p>
        </w:tc>
        <w:tc>
          <w:tcPr>
            <w:tcW w:w="0" w:type="auto"/>
            <w:tcMar>
              <w:right w:w="80" w:type="dxa"/>
            </w:tcMar>
          </w:tcPr>
          <w:p w14:paraId="715A3C94" w14:textId="77777777" w:rsidR="0028101B" w:rsidRDefault="00D446B3">
            <w:pPr>
              <w:rPr>
                <w:sz w:val="22"/>
              </w:rPr>
            </w:pPr>
            <w:r>
              <w:rPr>
                <w:sz w:val="22"/>
              </w:rPr>
              <w:t>Sakskostnader for Høyesterett fastsettes etter dette med 1 907 970 kroner inklusive merverdiavgift.</w:t>
            </w:r>
          </w:p>
        </w:tc>
      </w:tr>
    </w:tbl>
    <w:p w14:paraId="0D48E4D5" w14:textId="77777777" w:rsidR="0028101B" w:rsidRDefault="0028101B">
      <w:pPr>
        <w:rPr>
          <w:sz w:val="6"/>
        </w:rPr>
      </w:pPr>
    </w:p>
    <w:p w14:paraId="407F806B"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6DDB46BA" w14:textId="77777777">
        <w:tc>
          <w:tcPr>
            <w:tcW w:w="720" w:type="dxa"/>
            <w:noWrap/>
            <w:tcMar>
              <w:right w:w="80" w:type="dxa"/>
            </w:tcMar>
          </w:tcPr>
          <w:p w14:paraId="766E55D2" w14:textId="77777777" w:rsidR="0028101B" w:rsidRDefault="00D446B3">
            <w:pPr>
              <w:rPr>
                <w:sz w:val="22"/>
              </w:rPr>
            </w:pPr>
            <w:r>
              <w:rPr>
                <w:sz w:val="22"/>
              </w:rPr>
              <w:t>(89)</w:t>
            </w:r>
          </w:p>
        </w:tc>
        <w:tc>
          <w:tcPr>
            <w:tcW w:w="0" w:type="auto"/>
            <w:tcMar>
              <w:right w:w="80" w:type="dxa"/>
            </w:tcMar>
          </w:tcPr>
          <w:p w14:paraId="01DF480A" w14:textId="77777777" w:rsidR="0028101B" w:rsidRDefault="00D446B3">
            <w:pPr>
              <w:rPr>
                <w:sz w:val="22"/>
              </w:rPr>
            </w:pPr>
            <w:r>
              <w:rPr>
                <w:sz w:val="22"/>
              </w:rPr>
              <w:t xml:space="preserve">For </w:t>
            </w:r>
            <w:r>
              <w:rPr>
                <w:sz w:val="22"/>
              </w:rPr>
              <w:t>lagmannsretten er det krevd dekket 2 477 397 kroner inklusive merverdiavgift i salær og 125 206 kroner i utlegg. For tingretten og lagmannsretten er det i sakskostnadsoppgaven gjort spesifikke fradrag under henvisning til at to av styremedlemmene ble frifunnet for kravet i lagmannsretten.</w:t>
            </w:r>
          </w:p>
        </w:tc>
      </w:tr>
    </w:tbl>
    <w:p w14:paraId="10353607" w14:textId="77777777" w:rsidR="0028101B" w:rsidRDefault="0028101B">
      <w:pPr>
        <w:rPr>
          <w:sz w:val="6"/>
        </w:rPr>
      </w:pPr>
    </w:p>
    <w:p w14:paraId="646656AD"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3C8945D4" w14:textId="77777777">
        <w:tc>
          <w:tcPr>
            <w:tcW w:w="720" w:type="dxa"/>
            <w:noWrap/>
            <w:tcMar>
              <w:right w:w="80" w:type="dxa"/>
            </w:tcMar>
          </w:tcPr>
          <w:p w14:paraId="4518042A" w14:textId="77777777" w:rsidR="0028101B" w:rsidRDefault="00D446B3">
            <w:pPr>
              <w:rPr>
                <w:sz w:val="22"/>
              </w:rPr>
            </w:pPr>
            <w:r>
              <w:rPr>
                <w:sz w:val="22"/>
              </w:rPr>
              <w:t>(90)</w:t>
            </w:r>
          </w:p>
        </w:tc>
        <w:tc>
          <w:tcPr>
            <w:tcW w:w="0" w:type="auto"/>
            <w:tcMar>
              <w:right w:w="80" w:type="dxa"/>
            </w:tcMar>
          </w:tcPr>
          <w:p w14:paraId="45648684" w14:textId="77777777" w:rsidR="0028101B" w:rsidRDefault="00D446B3">
            <w:pPr>
              <w:rPr>
                <w:sz w:val="22"/>
              </w:rPr>
            </w:pPr>
            <w:r>
              <w:rPr>
                <w:sz w:val="22"/>
              </w:rPr>
              <w:t xml:space="preserve">Høyesterett skal legge sitt resultat til grunn ved avgjørelsen av sakskostnader for lavere instanser, jf. </w:t>
            </w:r>
            <w:hyperlink r:id="rId56" w:anchor="reference/lov/2005-06-17-90/§20-9" w:history="1">
              <w:r>
                <w:rPr>
                  <w:sz w:val="22"/>
                </w:rPr>
                <w:t>tvisteloven § 20-9</w:t>
              </w:r>
            </w:hyperlink>
            <w:r>
              <w:rPr>
                <w:sz w:val="22"/>
              </w:rPr>
              <w:t xml:space="preserve"> andre ledd.</w:t>
            </w:r>
          </w:p>
        </w:tc>
      </w:tr>
    </w:tbl>
    <w:p w14:paraId="7948A19D" w14:textId="77777777" w:rsidR="0028101B" w:rsidRDefault="0028101B">
      <w:pPr>
        <w:rPr>
          <w:sz w:val="6"/>
        </w:rPr>
      </w:pPr>
    </w:p>
    <w:p w14:paraId="726D0ECD"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68F00540" w14:textId="77777777">
        <w:tc>
          <w:tcPr>
            <w:tcW w:w="720" w:type="dxa"/>
            <w:noWrap/>
            <w:tcMar>
              <w:right w:w="80" w:type="dxa"/>
            </w:tcMar>
          </w:tcPr>
          <w:p w14:paraId="5CDDB798" w14:textId="77777777" w:rsidR="0028101B" w:rsidRDefault="00D446B3">
            <w:pPr>
              <w:rPr>
                <w:sz w:val="22"/>
              </w:rPr>
            </w:pPr>
            <w:r>
              <w:rPr>
                <w:sz w:val="22"/>
              </w:rPr>
              <w:t>(91)</w:t>
            </w:r>
          </w:p>
        </w:tc>
        <w:tc>
          <w:tcPr>
            <w:tcW w:w="0" w:type="auto"/>
            <w:tcMar>
              <w:right w:w="80" w:type="dxa"/>
            </w:tcMar>
          </w:tcPr>
          <w:p w14:paraId="40D93C6D" w14:textId="77777777" w:rsidR="0028101B" w:rsidRDefault="00D446B3">
            <w:pPr>
              <w:rPr>
                <w:sz w:val="22"/>
              </w:rPr>
            </w:pPr>
            <w:r>
              <w:rPr>
                <w:sz w:val="22"/>
              </w:rPr>
              <w:t xml:space="preserve">Saken ble behandlet i lagmannsretten over syv rettsdager. Kravet er basert på 614 timers arbeid. Av dette knytter 236 timer seg til gjennomføring av ankeforhandlingene. Også dette kravet er etter mitt syn for </w:t>
            </w:r>
            <w:r>
              <w:rPr>
                <w:sz w:val="22"/>
              </w:rPr>
              <w:t>høyt. Jeg viser særlig til at retts- og bevisspørsmålene i det vesentlige var de samme som i tingretten. Sakskostnader tilkjennes med 1 776 000 kroner inklusive merverdiavgift for lagmannsretten.</w:t>
            </w:r>
          </w:p>
        </w:tc>
      </w:tr>
    </w:tbl>
    <w:p w14:paraId="5B06586B" w14:textId="77777777" w:rsidR="0028101B" w:rsidRDefault="0028101B">
      <w:pPr>
        <w:rPr>
          <w:sz w:val="6"/>
        </w:rPr>
      </w:pPr>
    </w:p>
    <w:p w14:paraId="1D7AD77E"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22A23870" w14:textId="77777777">
        <w:tc>
          <w:tcPr>
            <w:tcW w:w="720" w:type="dxa"/>
            <w:noWrap/>
            <w:tcMar>
              <w:right w:w="80" w:type="dxa"/>
            </w:tcMar>
          </w:tcPr>
          <w:p w14:paraId="0CA9AF5A" w14:textId="77777777" w:rsidR="0028101B" w:rsidRDefault="00D446B3">
            <w:pPr>
              <w:rPr>
                <w:sz w:val="22"/>
              </w:rPr>
            </w:pPr>
            <w:r>
              <w:rPr>
                <w:sz w:val="22"/>
              </w:rPr>
              <w:t>(92)</w:t>
            </w:r>
          </w:p>
        </w:tc>
        <w:tc>
          <w:tcPr>
            <w:tcW w:w="0" w:type="auto"/>
            <w:tcMar>
              <w:right w:w="80" w:type="dxa"/>
            </w:tcMar>
          </w:tcPr>
          <w:p w14:paraId="64B8DA79" w14:textId="77777777" w:rsidR="0028101B" w:rsidRDefault="00D446B3">
            <w:pPr>
              <w:rPr>
                <w:sz w:val="22"/>
              </w:rPr>
            </w:pPr>
            <w:r>
              <w:rPr>
                <w:sz w:val="22"/>
              </w:rPr>
              <w:t xml:space="preserve">For tingretten er det krevd dekket 2 161 579,75 kroner inklusive merverdiavgift i salær, og 77 444 kroner i utlegg. Saken ble der behandlet over syv rettsdager. Saksanlegget var bredt lagt opp og kravet tilkjennes i sin helhet, jf. </w:t>
            </w:r>
            <w:hyperlink r:id="rId57" w:anchor="reference/lov/2005-06-17-90/§20-2" w:history="1">
              <w:r>
                <w:rPr>
                  <w:sz w:val="22"/>
                </w:rPr>
                <w:t>tvisteloven § 20-2</w:t>
              </w:r>
            </w:hyperlink>
            <w:r>
              <w:rPr>
                <w:sz w:val="22"/>
              </w:rPr>
              <w:t xml:space="preserve"> første ledd.</w:t>
            </w:r>
          </w:p>
        </w:tc>
      </w:tr>
    </w:tbl>
    <w:p w14:paraId="445BEA6B" w14:textId="77777777" w:rsidR="0028101B" w:rsidRDefault="0028101B">
      <w:pPr>
        <w:rPr>
          <w:sz w:val="6"/>
        </w:rPr>
      </w:pPr>
    </w:p>
    <w:p w14:paraId="153CDA86"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1C834795" w14:textId="77777777">
        <w:tc>
          <w:tcPr>
            <w:tcW w:w="720" w:type="dxa"/>
            <w:noWrap/>
            <w:tcMar>
              <w:right w:w="80" w:type="dxa"/>
            </w:tcMar>
          </w:tcPr>
          <w:p w14:paraId="5A97FD60" w14:textId="77777777" w:rsidR="0028101B" w:rsidRDefault="00D446B3">
            <w:pPr>
              <w:rPr>
                <w:sz w:val="22"/>
              </w:rPr>
            </w:pPr>
            <w:r>
              <w:rPr>
                <w:sz w:val="22"/>
              </w:rPr>
              <w:t>(93)</w:t>
            </w:r>
          </w:p>
        </w:tc>
        <w:tc>
          <w:tcPr>
            <w:tcW w:w="0" w:type="auto"/>
            <w:tcMar>
              <w:right w:w="80" w:type="dxa"/>
            </w:tcMar>
          </w:tcPr>
          <w:p w14:paraId="13E03CA5" w14:textId="77777777" w:rsidR="0028101B" w:rsidRDefault="00D446B3">
            <w:pPr>
              <w:rPr>
                <w:sz w:val="22"/>
              </w:rPr>
            </w:pPr>
            <w:r>
              <w:rPr>
                <w:sz w:val="22"/>
              </w:rPr>
              <w:t>Styremedlemmene tilkjennes etter dette sakskostnader for tingrett, lagmannsrett og Høyesterett med 5 922 994 kroner.</w:t>
            </w:r>
          </w:p>
        </w:tc>
      </w:tr>
    </w:tbl>
    <w:p w14:paraId="735DD719" w14:textId="77777777" w:rsidR="0028101B" w:rsidRDefault="0028101B">
      <w:pPr>
        <w:rPr>
          <w:sz w:val="6"/>
        </w:rPr>
      </w:pPr>
    </w:p>
    <w:p w14:paraId="7211CE38"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28101B" w14:paraId="457AFAD0" w14:textId="77777777">
        <w:tc>
          <w:tcPr>
            <w:tcW w:w="720" w:type="dxa"/>
            <w:noWrap/>
            <w:tcMar>
              <w:right w:w="80" w:type="dxa"/>
            </w:tcMar>
          </w:tcPr>
          <w:p w14:paraId="3021292A" w14:textId="77777777" w:rsidR="0028101B" w:rsidRDefault="00D446B3">
            <w:pPr>
              <w:rPr>
                <w:sz w:val="22"/>
              </w:rPr>
            </w:pPr>
            <w:r>
              <w:rPr>
                <w:sz w:val="22"/>
              </w:rPr>
              <w:t>(94)</w:t>
            </w:r>
          </w:p>
        </w:tc>
        <w:tc>
          <w:tcPr>
            <w:tcW w:w="0" w:type="auto"/>
            <w:tcMar>
              <w:right w:w="80" w:type="dxa"/>
            </w:tcMar>
          </w:tcPr>
          <w:p w14:paraId="0334FC9D" w14:textId="77777777" w:rsidR="0028101B" w:rsidRDefault="00D446B3">
            <w:pPr>
              <w:rPr>
                <w:sz w:val="6"/>
              </w:rPr>
            </w:pPr>
            <w:r>
              <w:rPr>
                <w:sz w:val="22"/>
              </w:rPr>
              <w:t>Jeg stemmer for denne</w:t>
            </w:r>
          </w:p>
          <w:p w14:paraId="22CBCA09" w14:textId="77777777" w:rsidR="0028101B" w:rsidRDefault="00D446B3">
            <w:pPr>
              <w:spacing w:before="120"/>
              <w:ind w:left="360" w:firstLine="180"/>
              <w:jc w:val="center"/>
              <w:rPr>
                <w:sz w:val="6"/>
              </w:rPr>
            </w:pPr>
            <w:r>
              <w:rPr>
                <w:sz w:val="22"/>
              </w:rPr>
              <w:t>DOM:</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28101B" w14:paraId="17ACA610" w14:textId="77777777">
              <w:tc>
                <w:tcPr>
                  <w:tcW w:w="720" w:type="dxa"/>
                  <w:noWrap/>
                  <w:tcMar>
                    <w:right w:w="80" w:type="dxa"/>
                  </w:tcMar>
                </w:tcPr>
                <w:p w14:paraId="7F127B2F" w14:textId="77777777" w:rsidR="0028101B" w:rsidRDefault="00D446B3">
                  <w:pPr>
                    <w:jc w:val="right"/>
                    <w:rPr>
                      <w:sz w:val="22"/>
                    </w:rPr>
                  </w:pPr>
                  <w:r>
                    <w:rPr>
                      <w:sz w:val="22"/>
                    </w:rPr>
                    <w:t>1.</w:t>
                  </w:r>
                </w:p>
              </w:tc>
              <w:tc>
                <w:tcPr>
                  <w:tcW w:w="8786" w:type="dxa"/>
                  <w:noWrap/>
                  <w:tcMar>
                    <w:right w:w="80" w:type="dxa"/>
                  </w:tcMar>
                </w:tcPr>
                <w:p w14:paraId="030CA899" w14:textId="77777777" w:rsidR="0028101B" w:rsidRDefault="00D446B3">
                  <w:pPr>
                    <w:rPr>
                      <w:sz w:val="22"/>
                    </w:rPr>
                  </w:pPr>
                  <w:r>
                    <w:rPr>
                      <w:sz w:val="22"/>
                    </w:rPr>
                    <w:t>F og E</w:t>
                  </w:r>
                  <w:r>
                    <w:rPr>
                      <w:sz w:val="22"/>
                    </w:rPr>
                    <w:t xml:space="preserve"> frifinnes.</w:t>
                  </w:r>
                </w:p>
              </w:tc>
            </w:tr>
          </w:tbl>
          <w:p w14:paraId="556B7B4C" w14:textId="77777777" w:rsidR="0028101B" w:rsidRDefault="0028101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28101B" w14:paraId="32FEB29E" w14:textId="77777777">
              <w:tc>
                <w:tcPr>
                  <w:tcW w:w="720" w:type="dxa"/>
                  <w:noWrap/>
                  <w:tcMar>
                    <w:right w:w="80" w:type="dxa"/>
                  </w:tcMar>
                </w:tcPr>
                <w:p w14:paraId="1765E808" w14:textId="77777777" w:rsidR="0028101B" w:rsidRDefault="00D446B3">
                  <w:pPr>
                    <w:jc w:val="right"/>
                    <w:rPr>
                      <w:sz w:val="22"/>
                    </w:rPr>
                  </w:pPr>
                  <w:r>
                    <w:rPr>
                      <w:sz w:val="22"/>
                    </w:rPr>
                    <w:t>2.</w:t>
                  </w:r>
                </w:p>
              </w:tc>
              <w:tc>
                <w:tcPr>
                  <w:tcW w:w="8786" w:type="dxa"/>
                  <w:noWrap/>
                  <w:tcMar>
                    <w:right w:w="80" w:type="dxa"/>
                  </w:tcMar>
                </w:tcPr>
                <w:p w14:paraId="3B833114" w14:textId="77777777" w:rsidR="0028101B" w:rsidRDefault="00D446B3">
                  <w:pPr>
                    <w:rPr>
                      <w:sz w:val="22"/>
                    </w:rPr>
                  </w:pPr>
                  <w:r>
                    <w:rPr>
                      <w:sz w:val="22"/>
                    </w:rPr>
                    <w:t xml:space="preserve">I sakskostnader for tingretten, lagmannsretten og Høyesterett betaler H.M. </w:t>
                  </w:r>
                  <w:proofErr w:type="spellStart"/>
                  <w:r>
                    <w:rPr>
                      <w:sz w:val="22"/>
                    </w:rPr>
                    <w:t>Structures</w:t>
                  </w:r>
                  <w:proofErr w:type="spellEnd"/>
                  <w:r>
                    <w:rPr>
                      <w:sz w:val="22"/>
                    </w:rPr>
                    <w:t xml:space="preserve"> Limited og D – én for begge og begge for én – til E og F i fellesskap 5 922 994 – </w:t>
                  </w:r>
                  <w:proofErr w:type="spellStart"/>
                  <w:r>
                    <w:rPr>
                      <w:sz w:val="22"/>
                    </w:rPr>
                    <w:t>femmillionernihundreogtjuetotusennihundreognittifire</w:t>
                  </w:r>
                  <w:proofErr w:type="spellEnd"/>
                  <w:r>
                    <w:rPr>
                      <w:sz w:val="22"/>
                    </w:rPr>
                    <w:t xml:space="preserve"> – kroner innen 2 – to – uker fra forkynnelsen av denne dom.</w:t>
                  </w:r>
                </w:p>
              </w:tc>
            </w:tr>
          </w:tbl>
          <w:p w14:paraId="701735E1" w14:textId="77777777" w:rsidR="0028101B" w:rsidRDefault="0028101B">
            <w:pPr>
              <w:rPr>
                <w:sz w:val="22"/>
              </w:rPr>
            </w:pPr>
          </w:p>
        </w:tc>
      </w:tr>
    </w:tbl>
    <w:p w14:paraId="19F4E3FE" w14:textId="77777777" w:rsidR="0028101B" w:rsidRDefault="0028101B">
      <w:pPr>
        <w:rPr>
          <w:sz w:val="6"/>
        </w:rPr>
      </w:pPr>
    </w:p>
    <w:p w14:paraId="62DB465C"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75CFF0C7" w14:textId="77777777">
        <w:tc>
          <w:tcPr>
            <w:tcW w:w="720" w:type="dxa"/>
            <w:noWrap/>
            <w:tcMar>
              <w:right w:w="80" w:type="dxa"/>
            </w:tcMar>
          </w:tcPr>
          <w:p w14:paraId="11273561" w14:textId="77777777" w:rsidR="0028101B" w:rsidRDefault="00D446B3">
            <w:pPr>
              <w:rPr>
                <w:sz w:val="22"/>
              </w:rPr>
            </w:pPr>
            <w:r>
              <w:rPr>
                <w:sz w:val="22"/>
              </w:rPr>
              <w:t>(95)</w:t>
            </w:r>
          </w:p>
        </w:tc>
        <w:tc>
          <w:tcPr>
            <w:tcW w:w="0" w:type="auto"/>
            <w:tcMar>
              <w:right w:w="80" w:type="dxa"/>
            </w:tcMar>
          </w:tcPr>
          <w:p w14:paraId="28378AAE" w14:textId="77777777" w:rsidR="0028101B" w:rsidRDefault="00D446B3">
            <w:pPr>
              <w:rPr>
                <w:sz w:val="22"/>
              </w:rPr>
            </w:pPr>
            <w:r>
              <w:rPr>
                <w:sz w:val="22"/>
              </w:rPr>
              <w:t xml:space="preserve">Dommer </w:t>
            </w:r>
            <w:r>
              <w:rPr>
                <w:b/>
                <w:sz w:val="22"/>
              </w:rPr>
              <w:t>Kallerud:</w:t>
            </w:r>
            <w:r>
              <w:rPr>
                <w:sz w:val="22"/>
              </w:rPr>
              <w:t xml:space="preserve"> Jeg er i det vesentlige og i resultatet enig med førstvoterende.</w:t>
            </w:r>
          </w:p>
        </w:tc>
      </w:tr>
    </w:tbl>
    <w:p w14:paraId="4554EBA4" w14:textId="77777777" w:rsidR="0028101B" w:rsidRDefault="0028101B">
      <w:pPr>
        <w:rPr>
          <w:sz w:val="6"/>
        </w:rPr>
      </w:pPr>
    </w:p>
    <w:p w14:paraId="65E0DB67"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07147A52" w14:textId="77777777">
        <w:tc>
          <w:tcPr>
            <w:tcW w:w="720" w:type="dxa"/>
            <w:noWrap/>
            <w:tcMar>
              <w:right w:w="80" w:type="dxa"/>
            </w:tcMar>
          </w:tcPr>
          <w:p w14:paraId="7E4DDCAD" w14:textId="77777777" w:rsidR="0028101B" w:rsidRDefault="00D446B3">
            <w:pPr>
              <w:rPr>
                <w:sz w:val="22"/>
              </w:rPr>
            </w:pPr>
            <w:r>
              <w:rPr>
                <w:sz w:val="22"/>
              </w:rPr>
              <w:t>(96)</w:t>
            </w:r>
          </w:p>
        </w:tc>
        <w:tc>
          <w:tcPr>
            <w:tcW w:w="0" w:type="auto"/>
            <w:tcMar>
              <w:right w:w="80" w:type="dxa"/>
            </w:tcMar>
          </w:tcPr>
          <w:p w14:paraId="0C17C606" w14:textId="77777777" w:rsidR="0028101B" w:rsidRDefault="00D446B3">
            <w:pPr>
              <w:rPr>
                <w:sz w:val="22"/>
              </w:rPr>
            </w:pPr>
            <w:r>
              <w:rPr>
                <w:sz w:val="22"/>
              </w:rPr>
              <w:t xml:space="preserve">Dommer </w:t>
            </w:r>
            <w:r>
              <w:rPr>
                <w:b/>
                <w:sz w:val="22"/>
              </w:rPr>
              <w:t>Østensen Berglund:</w:t>
            </w:r>
            <w:r>
              <w:rPr>
                <w:sz w:val="22"/>
              </w:rPr>
              <w:t xml:space="preserve"> Likeså.</w:t>
            </w:r>
          </w:p>
        </w:tc>
      </w:tr>
    </w:tbl>
    <w:p w14:paraId="37A560B9" w14:textId="77777777" w:rsidR="0028101B" w:rsidRDefault="0028101B">
      <w:pPr>
        <w:rPr>
          <w:sz w:val="6"/>
        </w:rPr>
      </w:pPr>
    </w:p>
    <w:p w14:paraId="5E7C773E"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04126632" w14:textId="77777777">
        <w:tc>
          <w:tcPr>
            <w:tcW w:w="720" w:type="dxa"/>
            <w:noWrap/>
            <w:tcMar>
              <w:right w:w="80" w:type="dxa"/>
            </w:tcMar>
          </w:tcPr>
          <w:p w14:paraId="67F75DC9" w14:textId="77777777" w:rsidR="0028101B" w:rsidRDefault="00D446B3">
            <w:pPr>
              <w:rPr>
                <w:sz w:val="22"/>
              </w:rPr>
            </w:pPr>
            <w:r>
              <w:rPr>
                <w:sz w:val="22"/>
              </w:rPr>
              <w:t>(97)</w:t>
            </w:r>
          </w:p>
        </w:tc>
        <w:tc>
          <w:tcPr>
            <w:tcW w:w="0" w:type="auto"/>
            <w:tcMar>
              <w:right w:w="80" w:type="dxa"/>
            </w:tcMar>
          </w:tcPr>
          <w:p w14:paraId="17D5E72D" w14:textId="77777777" w:rsidR="0028101B" w:rsidRDefault="00D446B3">
            <w:pPr>
              <w:rPr>
                <w:sz w:val="22"/>
              </w:rPr>
            </w:pPr>
            <w:r>
              <w:rPr>
                <w:sz w:val="22"/>
              </w:rPr>
              <w:t xml:space="preserve">Dommer </w:t>
            </w:r>
            <w:r>
              <w:rPr>
                <w:b/>
                <w:sz w:val="22"/>
              </w:rPr>
              <w:t>Falch:</w:t>
            </w:r>
            <w:r>
              <w:rPr>
                <w:sz w:val="22"/>
              </w:rPr>
              <w:t xml:space="preserve"> Likeså.</w:t>
            </w:r>
          </w:p>
        </w:tc>
      </w:tr>
    </w:tbl>
    <w:p w14:paraId="50E72C28" w14:textId="77777777" w:rsidR="0028101B" w:rsidRDefault="0028101B">
      <w:pPr>
        <w:rPr>
          <w:sz w:val="6"/>
        </w:rPr>
      </w:pPr>
    </w:p>
    <w:p w14:paraId="4F95E9E0"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146"/>
      </w:tblGrid>
      <w:tr w:rsidR="0028101B" w14:paraId="22DF83A7" w14:textId="77777777">
        <w:tc>
          <w:tcPr>
            <w:tcW w:w="720" w:type="dxa"/>
            <w:noWrap/>
            <w:tcMar>
              <w:right w:w="80" w:type="dxa"/>
            </w:tcMar>
          </w:tcPr>
          <w:p w14:paraId="453A0D11" w14:textId="77777777" w:rsidR="0028101B" w:rsidRDefault="00D446B3">
            <w:pPr>
              <w:rPr>
                <w:sz w:val="22"/>
              </w:rPr>
            </w:pPr>
            <w:r>
              <w:rPr>
                <w:sz w:val="22"/>
              </w:rPr>
              <w:t>(98)</w:t>
            </w:r>
          </w:p>
        </w:tc>
        <w:tc>
          <w:tcPr>
            <w:tcW w:w="0" w:type="auto"/>
            <w:tcMar>
              <w:right w:w="80" w:type="dxa"/>
            </w:tcMar>
          </w:tcPr>
          <w:p w14:paraId="5F142515" w14:textId="77777777" w:rsidR="0028101B" w:rsidRDefault="00D446B3">
            <w:pPr>
              <w:rPr>
                <w:sz w:val="22"/>
              </w:rPr>
            </w:pPr>
            <w:r>
              <w:rPr>
                <w:sz w:val="22"/>
              </w:rPr>
              <w:t xml:space="preserve">Dommer </w:t>
            </w:r>
            <w:r>
              <w:rPr>
                <w:b/>
                <w:sz w:val="22"/>
              </w:rPr>
              <w:t>Indreberg:</w:t>
            </w:r>
            <w:r>
              <w:rPr>
                <w:sz w:val="22"/>
              </w:rPr>
              <w:t xml:space="preserve"> Likeså.</w:t>
            </w:r>
          </w:p>
        </w:tc>
      </w:tr>
    </w:tbl>
    <w:p w14:paraId="73CA5C28" w14:textId="77777777" w:rsidR="0028101B" w:rsidRDefault="0028101B">
      <w:pPr>
        <w:rPr>
          <w:sz w:val="6"/>
        </w:rPr>
      </w:pPr>
    </w:p>
    <w:p w14:paraId="353E571A" w14:textId="77777777" w:rsidR="0028101B" w:rsidRDefault="0028101B">
      <w:pPr>
        <w:rPr>
          <w:sz w:val="22"/>
        </w:rPr>
      </w:pPr>
    </w:p>
    <w:tbl>
      <w:tblPr>
        <w:tblW w:w="9866"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9586"/>
      </w:tblGrid>
      <w:tr w:rsidR="0028101B" w14:paraId="49DFFB1C" w14:textId="77777777">
        <w:tc>
          <w:tcPr>
            <w:tcW w:w="720" w:type="dxa"/>
            <w:noWrap/>
            <w:tcMar>
              <w:right w:w="80" w:type="dxa"/>
            </w:tcMar>
          </w:tcPr>
          <w:p w14:paraId="33A061EE" w14:textId="77777777" w:rsidR="0028101B" w:rsidRDefault="00D446B3">
            <w:pPr>
              <w:rPr>
                <w:sz w:val="22"/>
              </w:rPr>
            </w:pPr>
            <w:r>
              <w:rPr>
                <w:sz w:val="22"/>
              </w:rPr>
              <w:t>(99)</w:t>
            </w:r>
          </w:p>
        </w:tc>
        <w:tc>
          <w:tcPr>
            <w:tcW w:w="0" w:type="auto"/>
            <w:tcMar>
              <w:right w:w="80" w:type="dxa"/>
            </w:tcMar>
          </w:tcPr>
          <w:p w14:paraId="2AD9A700" w14:textId="77777777" w:rsidR="0028101B" w:rsidRDefault="00D446B3">
            <w:pPr>
              <w:rPr>
                <w:sz w:val="6"/>
              </w:rPr>
            </w:pPr>
            <w:r>
              <w:rPr>
                <w:sz w:val="22"/>
              </w:rPr>
              <w:t>Etter stemmegivningen avsa Høyesterett denne</w:t>
            </w:r>
          </w:p>
          <w:p w14:paraId="7AE88609" w14:textId="77777777" w:rsidR="0028101B" w:rsidRDefault="00D446B3">
            <w:pPr>
              <w:spacing w:before="120"/>
              <w:ind w:left="360" w:firstLine="180"/>
              <w:jc w:val="center"/>
              <w:rPr>
                <w:sz w:val="6"/>
              </w:rPr>
            </w:pPr>
            <w:r>
              <w:rPr>
                <w:i/>
                <w:sz w:val="22"/>
              </w:rPr>
              <w:lastRenderedPageBreak/>
              <w:t>DOM:</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28101B" w14:paraId="2A7F8EC9" w14:textId="77777777">
              <w:tc>
                <w:tcPr>
                  <w:tcW w:w="720" w:type="dxa"/>
                  <w:noWrap/>
                  <w:tcMar>
                    <w:right w:w="80" w:type="dxa"/>
                  </w:tcMar>
                </w:tcPr>
                <w:p w14:paraId="456AFBB5" w14:textId="77777777" w:rsidR="0028101B" w:rsidRDefault="00D446B3">
                  <w:pPr>
                    <w:jc w:val="right"/>
                    <w:rPr>
                      <w:sz w:val="22"/>
                    </w:rPr>
                  </w:pPr>
                  <w:r>
                    <w:rPr>
                      <w:i/>
                      <w:sz w:val="22"/>
                    </w:rPr>
                    <w:t>1.</w:t>
                  </w:r>
                </w:p>
              </w:tc>
              <w:tc>
                <w:tcPr>
                  <w:tcW w:w="8786" w:type="dxa"/>
                  <w:noWrap/>
                  <w:tcMar>
                    <w:right w:w="80" w:type="dxa"/>
                  </w:tcMar>
                </w:tcPr>
                <w:p w14:paraId="34473315" w14:textId="77777777" w:rsidR="0028101B" w:rsidRDefault="00D446B3">
                  <w:pPr>
                    <w:rPr>
                      <w:sz w:val="22"/>
                    </w:rPr>
                  </w:pPr>
                  <w:r>
                    <w:rPr>
                      <w:i/>
                      <w:sz w:val="22"/>
                    </w:rPr>
                    <w:t>F og E frifinnes.</w:t>
                  </w:r>
                </w:p>
              </w:tc>
            </w:tr>
          </w:tbl>
          <w:p w14:paraId="7A958CE8" w14:textId="77777777" w:rsidR="0028101B" w:rsidRDefault="0028101B">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786"/>
            </w:tblGrid>
            <w:tr w:rsidR="0028101B" w14:paraId="4C48C0A0" w14:textId="77777777">
              <w:tc>
                <w:tcPr>
                  <w:tcW w:w="720" w:type="dxa"/>
                  <w:noWrap/>
                  <w:tcMar>
                    <w:right w:w="80" w:type="dxa"/>
                  </w:tcMar>
                </w:tcPr>
                <w:p w14:paraId="564BA2F5" w14:textId="77777777" w:rsidR="0028101B" w:rsidRDefault="00D446B3">
                  <w:pPr>
                    <w:jc w:val="right"/>
                    <w:rPr>
                      <w:sz w:val="22"/>
                    </w:rPr>
                  </w:pPr>
                  <w:r>
                    <w:rPr>
                      <w:i/>
                      <w:sz w:val="22"/>
                    </w:rPr>
                    <w:t>2.</w:t>
                  </w:r>
                </w:p>
              </w:tc>
              <w:tc>
                <w:tcPr>
                  <w:tcW w:w="8786" w:type="dxa"/>
                  <w:noWrap/>
                  <w:tcMar>
                    <w:right w:w="80" w:type="dxa"/>
                  </w:tcMar>
                </w:tcPr>
                <w:p w14:paraId="2EB76274" w14:textId="77777777" w:rsidR="0028101B" w:rsidRDefault="00D446B3">
                  <w:pPr>
                    <w:rPr>
                      <w:sz w:val="22"/>
                    </w:rPr>
                  </w:pPr>
                  <w:r>
                    <w:rPr>
                      <w:i/>
                      <w:sz w:val="22"/>
                    </w:rPr>
                    <w:t xml:space="preserve">I sakskostnader for tingretten, lagmannsretten og Høyesterett betaler H.M. </w:t>
                  </w:r>
                  <w:proofErr w:type="spellStart"/>
                  <w:r>
                    <w:rPr>
                      <w:i/>
                      <w:sz w:val="22"/>
                    </w:rPr>
                    <w:t>Structures</w:t>
                  </w:r>
                  <w:proofErr w:type="spellEnd"/>
                  <w:r>
                    <w:rPr>
                      <w:i/>
                      <w:sz w:val="22"/>
                    </w:rPr>
                    <w:t xml:space="preserve"> Limited og D – én for begge og begge for én – til E og F i fellesskap 5 922 994 – </w:t>
                  </w:r>
                  <w:proofErr w:type="spellStart"/>
                  <w:r>
                    <w:rPr>
                      <w:i/>
                      <w:sz w:val="22"/>
                    </w:rPr>
                    <w:t>femmillionernihundreogtjuetotusennihundreognittifire</w:t>
                  </w:r>
                  <w:proofErr w:type="spellEnd"/>
                  <w:r>
                    <w:rPr>
                      <w:i/>
                      <w:sz w:val="22"/>
                    </w:rPr>
                    <w:t xml:space="preserve"> – kroner innen 2 – to – uker fra forkynnelsen av denne dom.</w:t>
                  </w:r>
                </w:p>
              </w:tc>
            </w:tr>
          </w:tbl>
          <w:p w14:paraId="1E1294B7" w14:textId="77777777" w:rsidR="0028101B" w:rsidRDefault="0028101B">
            <w:pPr>
              <w:rPr>
                <w:sz w:val="22"/>
              </w:rPr>
            </w:pPr>
          </w:p>
        </w:tc>
      </w:tr>
      <w:bookmarkEnd w:id="13"/>
      <w:bookmarkEnd w:id="5"/>
      <w:bookmarkEnd w:id="1"/>
    </w:tbl>
    <w:p w14:paraId="30B137B7" w14:textId="77777777" w:rsidR="0028101B" w:rsidRDefault="0028101B">
      <w:pPr>
        <w:rPr>
          <w:sz w:val="22"/>
        </w:rPr>
      </w:pPr>
    </w:p>
    <w:sectPr w:rsidR="0028101B">
      <w:headerReference w:type="default" r:id="rId58"/>
      <w:footerReference w:type="default" r:id="rId59"/>
      <w:pgSz w:w="11906" w:h="16838"/>
      <w:pgMar w:top="1020" w:right="1020" w:bottom="1020"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9F98" w14:textId="77777777" w:rsidR="00D446B3" w:rsidRDefault="00D446B3">
      <w:r>
        <w:separator/>
      </w:r>
    </w:p>
  </w:endnote>
  <w:endnote w:type="continuationSeparator" w:id="0">
    <w:p w14:paraId="5BDF29FB" w14:textId="77777777" w:rsidR="00D446B3" w:rsidRDefault="00D4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4CE1" w14:textId="77777777" w:rsidR="0028101B" w:rsidRDefault="00D446B3">
    <w:pPr>
      <w:jc w:val="center"/>
      <w:rPr>
        <w:sz w:val="22"/>
      </w:rPr>
    </w:pPr>
    <w:r>
      <w:rPr>
        <w:sz w:val="22"/>
      </w:rPr>
      <w:t xml:space="preserve"> </w:t>
    </w:r>
  </w:p>
  <w:p w14:paraId="153A37D8" w14:textId="77777777" w:rsidR="0028101B" w:rsidRDefault="00D446B3">
    <w:pPr>
      <w:jc w:val="center"/>
      <w:rPr>
        <w:sz w:val="22"/>
      </w:rPr>
    </w:pPr>
    <w:r>
      <w:rPr>
        <w:sz w:val="22"/>
      </w:rPr>
      <w:t>HR-2022-2484-A</w:t>
    </w:r>
  </w:p>
  <w:p w14:paraId="757D26B8" w14:textId="77777777" w:rsidR="0028101B" w:rsidRDefault="00D446B3">
    <w:pPr>
      <w:jc w:val="center"/>
      <w:rPr>
        <w:sz w:val="22"/>
      </w:rPr>
    </w:pPr>
    <w:r>
      <w:rPr>
        <w:sz w:val="22"/>
      </w:rPr>
      <w:t xml:space="preserve">Side </w:t>
    </w:r>
    <w:r>
      <w:rPr>
        <w:sz w:val="22"/>
      </w:rPr>
      <w:fldChar w:fldCharType="begin"/>
    </w:r>
    <w:r>
      <w:rPr>
        <w:sz w:val="22"/>
      </w:rPr>
      <w:instrText>PAGE</w:instrText>
    </w:r>
    <w:r>
      <w:rPr>
        <w:sz w:val="22"/>
      </w:rPr>
      <w:fldChar w:fldCharType="separate"/>
    </w:r>
    <w:r>
      <w:rPr>
        <w:sz w:val="22"/>
      </w:rPr>
      <w:t>13</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C4AFA" w14:textId="77777777" w:rsidR="00D446B3" w:rsidRDefault="00D446B3">
      <w:r>
        <w:separator/>
      </w:r>
    </w:p>
  </w:footnote>
  <w:footnote w:type="continuationSeparator" w:id="0">
    <w:p w14:paraId="0DC4A2EE" w14:textId="77777777" w:rsidR="00D446B3" w:rsidRDefault="00D4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41666" w14:textId="77777777" w:rsidR="0028101B" w:rsidRDefault="00D446B3">
    <w:pPr>
      <w:jc w:val="right"/>
      <w:rPr>
        <w:sz w:val="22"/>
      </w:rPr>
    </w:pPr>
    <w:r>
      <w:rPr>
        <w:sz w:val="22"/>
      </w:rPr>
      <w:t>Utskrift fra Lovdata - 03.12.2024 09:54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8101B"/>
    <w:rsid w:val="008D7FDF"/>
    <w:rsid w:val="00A77B3E"/>
    <w:rsid w:val="00CA2A55"/>
    <w:rsid w:val="00D446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8F7922"/>
  <w15:docId w15:val="{91737C36-FAC5-4A1C-93F2-E872BF20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F7B96"/>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F7B96"/>
    <w:pPr>
      <w:keepNext/>
      <w:spacing w:before="240" w:after="60"/>
      <w:outlineLvl w:val="2"/>
    </w:pPr>
    <w:rPr>
      <w:rFonts w:ascii="Arial" w:hAnsi="Arial" w:cs="Arial"/>
      <w:b/>
      <w:bCs/>
      <w:sz w:val="26"/>
      <w:szCs w:val="26"/>
    </w:rPr>
  </w:style>
  <w:style w:type="paragraph" w:styleId="Overskrift4">
    <w:name w:val="heading 4"/>
    <w:basedOn w:val="Normal"/>
    <w:next w:val="Normal"/>
    <w:qFormat/>
    <w:rsid w:val="00EF7B96"/>
    <w:pPr>
      <w:keepNext/>
      <w:spacing w:before="240" w:after="60"/>
      <w:outlineLvl w:val="3"/>
    </w:pPr>
    <w:rPr>
      <w:b/>
      <w:bCs/>
      <w:sz w:val="28"/>
      <w:szCs w:val="28"/>
    </w:rPr>
  </w:style>
  <w:style w:type="paragraph" w:styleId="Overskrift5">
    <w:name w:val="heading 5"/>
    <w:basedOn w:val="Normal"/>
    <w:next w:val="Normal"/>
    <w:qFormat/>
    <w:rsid w:val="00EF7B96"/>
    <w:pPr>
      <w:spacing w:before="240" w:after="60"/>
      <w:outlineLvl w:val="4"/>
    </w:pPr>
    <w:rPr>
      <w:b/>
      <w:bCs/>
      <w:iCs/>
      <w:sz w:val="26"/>
      <w:szCs w:val="26"/>
    </w:rPr>
  </w:style>
  <w:style w:type="paragraph" w:styleId="Overskrift6">
    <w:name w:val="heading 6"/>
    <w:basedOn w:val="Normal"/>
    <w:next w:val="Normal"/>
    <w:qFormat/>
    <w:rsid w:val="00EF7B96"/>
    <w:pPr>
      <w:spacing w:before="240" w:after="60"/>
      <w:outlineLvl w:val="5"/>
    </w:pPr>
    <w:rPr>
      <w:b/>
      <w:bCs/>
      <w:sz w:val="22"/>
      <w:szCs w:val="22"/>
    </w:rPr>
  </w:style>
  <w:style w:type="paragraph" w:styleId="Overskrift7">
    <w:name w:val="heading 7"/>
    <w:basedOn w:val="Normal"/>
    <w:next w:val="Normal"/>
    <w:qFormat/>
    <w:rsid w:val="00EF7B96"/>
    <w:pPr>
      <w:spacing w:before="240" w:after="60"/>
      <w:outlineLvl w:val="6"/>
    </w:pPr>
  </w:style>
  <w:style w:type="paragraph" w:styleId="Overskrift8">
    <w:name w:val="heading 8"/>
    <w:basedOn w:val="Normal"/>
    <w:next w:val="Normal"/>
    <w:qFormat/>
    <w:rsid w:val="00EF7B96"/>
    <w:pPr>
      <w:spacing w:before="240" w:after="60"/>
      <w:outlineLvl w:val="7"/>
    </w:pPr>
    <w:rPr>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rsid w:val="00805BCE"/>
    <w:rPr>
      <w:b/>
      <w:sz w:val="22"/>
    </w:rPr>
  </w:style>
  <w:style w:type="paragraph" w:styleId="INNH2">
    <w:name w:val="toc 2"/>
    <w:basedOn w:val="Normal"/>
    <w:next w:val="Normal"/>
    <w:autoRedefine/>
    <w:rsid w:val="00805BCE"/>
    <w:pPr>
      <w:ind w:left="240"/>
    </w:pPr>
    <w:rPr>
      <w:b/>
      <w:sz w:val="22"/>
    </w:rPr>
  </w:style>
  <w:style w:type="paragraph" w:styleId="INNH3">
    <w:name w:val="toc 3"/>
    <w:basedOn w:val="Normal"/>
    <w:next w:val="Normal"/>
    <w:autoRedefine/>
    <w:rsid w:val="00805BCE"/>
    <w:pPr>
      <w:ind w:left="480"/>
    </w:pPr>
    <w:rPr>
      <w:b/>
      <w:sz w:val="22"/>
    </w:rPr>
  </w:style>
  <w:style w:type="paragraph" w:styleId="INNH4">
    <w:name w:val="toc 4"/>
    <w:basedOn w:val="Normal"/>
    <w:next w:val="Normal"/>
    <w:autoRedefine/>
    <w:rsid w:val="00805BCE"/>
    <w:pPr>
      <w:ind w:left="720"/>
    </w:pPr>
    <w:rPr>
      <w:b/>
      <w:sz w:val="22"/>
    </w:rPr>
  </w:style>
  <w:style w:type="paragraph" w:styleId="INNH5">
    <w:name w:val="toc 5"/>
    <w:basedOn w:val="Normal"/>
    <w:next w:val="Normal"/>
    <w:autoRedefine/>
    <w:rsid w:val="00805BCE"/>
    <w:pPr>
      <w:ind w:left="960"/>
    </w:pPr>
    <w:rPr>
      <w:b/>
      <w:sz w:val="22"/>
    </w:rPr>
  </w:style>
  <w:style w:type="paragraph" w:styleId="INNH6">
    <w:name w:val="toc 6"/>
    <w:basedOn w:val="Normal"/>
    <w:next w:val="Normal"/>
    <w:autoRedefine/>
    <w:rsid w:val="00805BCE"/>
    <w:pPr>
      <w:ind w:left="1200"/>
    </w:pPr>
    <w:rPr>
      <w:b/>
      <w:sz w:val="22"/>
    </w:rPr>
  </w:style>
  <w:style w:type="paragraph" w:styleId="INNH7">
    <w:name w:val="toc 7"/>
    <w:basedOn w:val="Normal"/>
    <w:next w:val="Normal"/>
    <w:autoRedefine/>
    <w:rsid w:val="00805BCE"/>
    <w:pPr>
      <w:ind w:left="1440"/>
    </w:pPr>
    <w:rPr>
      <w:b/>
      <w:sz w:val="22"/>
    </w:rPr>
  </w:style>
  <w:style w:type="paragraph" w:styleId="INNH8">
    <w:name w:val="toc 8"/>
    <w:basedOn w:val="Normal"/>
    <w:next w:val="Normal"/>
    <w:autoRedefine/>
    <w:rsid w:val="00805BCE"/>
    <w:pPr>
      <w:ind w:left="1680"/>
    </w:pPr>
    <w:rPr>
      <w:b/>
      <w:sz w:val="22"/>
    </w:rPr>
  </w:style>
  <w:style w:type="paragraph" w:styleId="INNH9">
    <w:name w:val="toc 9"/>
    <w:basedOn w:val="Normal"/>
    <w:next w:val="Normal"/>
    <w:autoRedefine/>
    <w:rsid w:val="00805BCE"/>
    <w:pPr>
      <w:ind w:left="1920"/>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lovdata.no/pro" TargetMode="External"/><Relationship Id="rId18" Type="http://schemas.openxmlformats.org/officeDocument/2006/relationships/hyperlink" Target="https://lovdata.no/pro" TargetMode="External"/><Relationship Id="rId26" Type="http://schemas.openxmlformats.org/officeDocument/2006/relationships/hyperlink" Target="https://lovdata.no/pro" TargetMode="External"/><Relationship Id="rId39" Type="http://schemas.openxmlformats.org/officeDocument/2006/relationships/hyperlink" Target="https://lovdata.no/pro" TargetMode="External"/><Relationship Id="rId21" Type="http://schemas.openxmlformats.org/officeDocument/2006/relationships/hyperlink" Target="https://lovdata.no/pro" TargetMode="External"/><Relationship Id="rId34" Type="http://schemas.openxmlformats.org/officeDocument/2006/relationships/hyperlink" Target="https://lovdata.no/pro" TargetMode="External"/><Relationship Id="rId42" Type="http://schemas.openxmlformats.org/officeDocument/2006/relationships/hyperlink" Target="https://lovdata.no/pro" TargetMode="External"/><Relationship Id="rId47" Type="http://schemas.openxmlformats.org/officeDocument/2006/relationships/hyperlink" Target="https://lovdata.no/pro" TargetMode="External"/><Relationship Id="rId50" Type="http://schemas.openxmlformats.org/officeDocument/2006/relationships/hyperlink" Target="https://lovdata.no/pro" TargetMode="External"/><Relationship Id="rId55" Type="http://schemas.openxmlformats.org/officeDocument/2006/relationships/hyperlink" Target="https://lovdata.no/pro" TargetMode="External"/><Relationship Id="rId7" Type="http://schemas.openxmlformats.org/officeDocument/2006/relationships/hyperlink" Target="https://lovdata.no/pro" TargetMode="External"/><Relationship Id="rId2" Type="http://schemas.openxmlformats.org/officeDocument/2006/relationships/settings" Target="settings.xml"/><Relationship Id="rId16" Type="http://schemas.openxmlformats.org/officeDocument/2006/relationships/hyperlink" Target="https://lovdata.no/pro" TargetMode="External"/><Relationship Id="rId29" Type="http://schemas.openxmlformats.org/officeDocument/2006/relationships/hyperlink" Target="https://lovdata.no/pro" TargetMode="External"/><Relationship Id="rId11" Type="http://schemas.openxmlformats.org/officeDocument/2006/relationships/hyperlink" Target="https://lovdata.no/pro" TargetMode="External"/><Relationship Id="rId24" Type="http://schemas.openxmlformats.org/officeDocument/2006/relationships/hyperlink" Target="https://lovdata.no/pro" TargetMode="External"/><Relationship Id="rId32" Type="http://schemas.openxmlformats.org/officeDocument/2006/relationships/hyperlink" Target="https://lovdata.no/pro" TargetMode="External"/><Relationship Id="rId37" Type="http://schemas.openxmlformats.org/officeDocument/2006/relationships/hyperlink" Target="https://lovdata.no/pro" TargetMode="External"/><Relationship Id="rId40" Type="http://schemas.openxmlformats.org/officeDocument/2006/relationships/hyperlink" Target="https://lovdata.no/pro" TargetMode="External"/><Relationship Id="rId45" Type="http://schemas.openxmlformats.org/officeDocument/2006/relationships/hyperlink" Target="https://lovdata.no/pro" TargetMode="External"/><Relationship Id="rId53" Type="http://schemas.openxmlformats.org/officeDocument/2006/relationships/hyperlink" Target="https://lovdata.no/pro" TargetMode="External"/><Relationship Id="rId58"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lovdata.no/pro" TargetMode="External"/><Relationship Id="rId14" Type="http://schemas.openxmlformats.org/officeDocument/2006/relationships/hyperlink" Target="https://lovdata.no/pro" TargetMode="External"/><Relationship Id="rId22" Type="http://schemas.openxmlformats.org/officeDocument/2006/relationships/hyperlink" Target="https://lovdata.no/pro" TargetMode="External"/><Relationship Id="rId27" Type="http://schemas.openxmlformats.org/officeDocument/2006/relationships/hyperlink" Target="https://lovdata.no/pro" TargetMode="External"/><Relationship Id="rId30" Type="http://schemas.openxmlformats.org/officeDocument/2006/relationships/hyperlink" Target="https://lovdata.no/pro" TargetMode="External"/><Relationship Id="rId35" Type="http://schemas.openxmlformats.org/officeDocument/2006/relationships/hyperlink" Target="https://lovdata.no/pro" TargetMode="External"/><Relationship Id="rId43" Type="http://schemas.openxmlformats.org/officeDocument/2006/relationships/hyperlink" Target="https://lovdata.no/pro" TargetMode="External"/><Relationship Id="rId48" Type="http://schemas.openxmlformats.org/officeDocument/2006/relationships/hyperlink" Target="https://lovdata.no/pro" TargetMode="External"/><Relationship Id="rId56" Type="http://schemas.openxmlformats.org/officeDocument/2006/relationships/hyperlink" Target="https://lovdata.no/pro" TargetMode="External"/><Relationship Id="rId8" Type="http://schemas.openxmlformats.org/officeDocument/2006/relationships/hyperlink" Target="https://lovdata.no/pro" TargetMode="External"/><Relationship Id="rId51" Type="http://schemas.openxmlformats.org/officeDocument/2006/relationships/hyperlink" Target="https://lovdata.no/pro" TargetMode="External"/><Relationship Id="rId3" Type="http://schemas.openxmlformats.org/officeDocument/2006/relationships/webSettings" Target="webSettings.xml"/><Relationship Id="rId12" Type="http://schemas.openxmlformats.org/officeDocument/2006/relationships/hyperlink" Target="https://lovdata.no/pro" TargetMode="External"/><Relationship Id="rId17" Type="http://schemas.openxmlformats.org/officeDocument/2006/relationships/hyperlink" Target="https://lovdata.no/pro" TargetMode="External"/><Relationship Id="rId25" Type="http://schemas.openxmlformats.org/officeDocument/2006/relationships/hyperlink" Target="https://lovdata.no/pro" TargetMode="External"/><Relationship Id="rId33" Type="http://schemas.openxmlformats.org/officeDocument/2006/relationships/hyperlink" Target="https://lovdata.no/pro" TargetMode="External"/><Relationship Id="rId38" Type="http://schemas.openxmlformats.org/officeDocument/2006/relationships/hyperlink" Target="https://lovdata.no/pro" TargetMode="External"/><Relationship Id="rId46" Type="http://schemas.openxmlformats.org/officeDocument/2006/relationships/hyperlink" Target="https://lovdata.no/pro" TargetMode="External"/><Relationship Id="rId59" Type="http://schemas.openxmlformats.org/officeDocument/2006/relationships/footer" Target="footer1.xml"/><Relationship Id="rId20" Type="http://schemas.openxmlformats.org/officeDocument/2006/relationships/hyperlink" Target="https://lovdata.no/pro" TargetMode="External"/><Relationship Id="rId41" Type="http://schemas.openxmlformats.org/officeDocument/2006/relationships/hyperlink" Target="https://lovdata.no/pro" TargetMode="External"/><Relationship Id="rId54" Type="http://schemas.openxmlformats.org/officeDocument/2006/relationships/hyperlink" Target="https://lovdata.no/pro"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vdata.no/pro" TargetMode="External"/><Relationship Id="rId23" Type="http://schemas.openxmlformats.org/officeDocument/2006/relationships/hyperlink" Target="https://lovdata.no/pro" TargetMode="External"/><Relationship Id="rId28" Type="http://schemas.openxmlformats.org/officeDocument/2006/relationships/hyperlink" Target="https://lovdata.no/pro" TargetMode="External"/><Relationship Id="rId36" Type="http://schemas.openxmlformats.org/officeDocument/2006/relationships/hyperlink" Target="https://lovdata.no/pro" TargetMode="External"/><Relationship Id="rId49" Type="http://schemas.openxmlformats.org/officeDocument/2006/relationships/hyperlink" Target="https://lovdata.no/pro" TargetMode="External"/><Relationship Id="rId57" Type="http://schemas.openxmlformats.org/officeDocument/2006/relationships/hyperlink" Target="https://lovdata.no/pro" TargetMode="External"/><Relationship Id="rId10" Type="http://schemas.openxmlformats.org/officeDocument/2006/relationships/hyperlink" Target="https://lovdata.no/pro" TargetMode="External"/><Relationship Id="rId31" Type="http://schemas.openxmlformats.org/officeDocument/2006/relationships/hyperlink" Target="https://lovdata.no/pro" TargetMode="External"/><Relationship Id="rId44" Type="http://schemas.openxmlformats.org/officeDocument/2006/relationships/hyperlink" Target="https://lovdata.no/pro" TargetMode="External"/><Relationship Id="rId52" Type="http://schemas.openxmlformats.org/officeDocument/2006/relationships/hyperlink" Target="https://lovdata.no/pro"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vdata.no/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7079</Words>
  <Characters>37519</Characters>
  <Application>Microsoft Office Word</Application>
  <DocSecurity>0</DocSecurity>
  <Lines>312</Lines>
  <Paragraphs>89</Paragraphs>
  <ScaleCrop>false</ScaleCrop>
  <HeadingPairs>
    <vt:vector size="2" baseType="variant">
      <vt:variant>
        <vt:lpstr>Title</vt:lpstr>
      </vt:variant>
      <vt:variant>
        <vt:i4>1</vt:i4>
      </vt:variant>
    </vt:vector>
  </HeadingPairs>
  <TitlesOfParts>
    <vt:vector size="1" baseType="lpstr">
      <vt:lpstr/>
    </vt:vector>
  </TitlesOfParts>
  <Company>Stiftelsen Lovdata</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Norges Høyesterett - Dom - HR-2022-2484-A</dc:title>
  <dc:subject>Norges Høyesterett - Dom - HR-2022-2484-A</dc:subject>
  <dc:creator>Stiftelsen Lovdata</dc:creator>
  <cp:lastModifiedBy>Arne Ringnes</cp:lastModifiedBy>
  <cp:revision>2</cp:revision>
  <dcterms:created xsi:type="dcterms:W3CDTF">2024-12-03T09:01:00Z</dcterms:created>
  <dcterms:modified xsi:type="dcterms:W3CDTF">2024-12-03T09:01:00Z</dcterms:modified>
  <cp:category>Juridisk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aultFont">
    <vt:lpwstr>Times New Roman</vt:lpwstr>
  </property>
  <property fmtid="{D5CDD505-2E9C-101B-9397-08002B2CF9AE}" pid="3" name="Lovdata-UID">
    <vt:i4>41611</vt:i4>
  </property>
</Properties>
</file>